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781-794,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1406-1417,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Vol.AK2-2,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1889-1903,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1177-1185,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Vol.IT2010-4, </w:t>
      </w:r>
      <w:r>
        <w:rPr>
          <w:rFonts w:ascii="" w:hAnsi="" w:cs="" w:eastAsia=""/>
          <w:b w:val="false"/>
          <w:i w:val="false"/>
          <w:strike w:val="false"/>
          <w:color w:val="000000"/>
          <w:sz w:val="20"/>
          <w:u w:val="none"/>
        </w:rPr>
        <w:t>19-24,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64-78,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No.TC15-5,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No.DSP-10,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No.332,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No.CT-11-030,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No.Numero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No.XIII-8,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Vol.2 S10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II-5-II-8,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233-259,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No.TC13-3,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No.229, </w:t>
      </w:r>
      <w:r>
        <w:rPr>
          <w:rFonts w:ascii="" w:hAnsi="" w:cs="" w:eastAsia=""/>
          <w:b w:val="false"/>
          <w:i w:val="false"/>
          <w:strike w:val="false"/>
          <w:color w:val="000000"/>
          <w:sz w:val="20"/>
          <w:u w:val="none"/>
        </w:rPr>
        <w:t>7-12,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67-72,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131-136,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No.PI-13-20, </w:t>
      </w:r>
      <w:r>
        <w:rPr>
          <w:rFonts w:ascii="" w:hAnsi="" w:cs="" w:eastAsia=""/>
          <w:b w:val="false"/>
          <w:i w:val="false"/>
          <w:strike w:val="false"/>
          <w:color w:val="000000"/>
          <w:sz w:val="20"/>
          <w:u w:val="none"/>
        </w:rPr>
        <w:t>59-64,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698-703,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237-255,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Vol.Vol.E98-D,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532-540,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Vol.6-14,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Vol.2 S13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No.TC15-3,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No.2D4-1,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No.441, </w:t>
      </w:r>
      <w:r>
        <w:rPr>
          <w:rFonts w:ascii="" w:hAnsi="" w:cs="" w:eastAsia=""/>
          <w:b w:val="false"/>
          <w:i w:val="false"/>
          <w:strike w:val="false"/>
          <w:color w:val="000000"/>
          <w:sz w:val="20"/>
          <w:u w:val="none"/>
        </w:rPr>
        <w:t>69-74,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No.D-12-4,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No.2-1-16,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No.1-R-20,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Vol.NS2014-181,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Vol.ICM2014-61,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No.IIS-15-044(PI-14-018),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025101-1-025101-11,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186-201,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1801-1805,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215-220,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27-32,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 15 088, </w:t>
      </w:r>
      <w:r>
        <w:rPr>
          <w:rFonts w:ascii="" w:hAnsi="" w:cs="" w:eastAsia=""/>
          <w:b w:val="false"/>
          <w:i w:val="false"/>
          <w:strike w:val="false"/>
          <w:color w:val="000000"/>
          <w:sz w:val="20"/>
          <w:u w:val="none"/>
        </w:rPr>
        <w:t>19-234,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Vol.NS2015-101, </w:t>
      </w:r>
      <w:r>
        <w:rPr>
          <w:rFonts w:ascii="" w:hAnsi="" w:cs="" w:eastAsia=""/>
          <w:b w:val="false"/>
          <w:i w:val="false"/>
          <w:strike w:val="false"/>
          <w:color w:val="000000"/>
          <w:sz w:val="20"/>
          <w:u w:val="none"/>
        </w:rPr>
        <w:t>79-80,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Vol.[S11],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Vol.NS2015-193, </w:t>
      </w:r>
      <w:r>
        <w:rPr>
          <w:rFonts w:ascii="" w:hAnsi="" w:cs="" w:eastAsia=""/>
          <w:b w:val="false"/>
          <w:i w:val="false"/>
          <w:strike w:val="false"/>
          <w:color w:val="000000"/>
          <w:sz w:val="20"/>
          <w:u w:val="none"/>
        </w:rPr>
        <w:t>145-148,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true"/>
          <w:strike w:val="false"/>
          <w:color w:val="000000"/>
          <w:sz w:val="20"/>
          <w:u w:val="none"/>
        </w:rPr>
        <w:t xml:space="preserve">No.126970,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Yifei, Tao Sichen, Li Haotian,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Tang Zheng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医用画像AI開発支援ソフトウェアを用いた歯科用CBCT画像における下顎菅のセグメンテーション,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(inpress), 2024.</w:t>
      </w:r>
    </w:p>
    <w:p>
      <w:pPr>
        <w:numPr>
          <w:numId w:val="23"/>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Fei,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Proceedings of IIAI-AAI2024, </w:t>
      </w:r>
      <w:r>
        <w:rPr>
          <w:rFonts w:ascii="" w:hAnsi="" w:cs="" w:eastAsia=""/>
          <w:b w:val="false"/>
          <w:i w:val="false"/>
          <w:strike w:val="false"/>
          <w:color w:val="000000"/>
          <w:sz w:val="20"/>
          <w:u w:val="none"/>
        </w:rPr>
        <w:t xml:space="preserve">6pgs,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Zhang Zhifei, Jiazheng Zhou,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Shi Xuefeng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