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啓嗣, 荒木 禎史,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特願2005-362377 (2005年12月), 特開2007-166429 (2007年6月),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啓嗣,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特願2005-362378 (2005年12月), 特開2007-166430 (2007年6月),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啓嗣,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画像処理装置，画像処理方法，プログラム及びプログラムを格納した記憶媒体, 特願2005-362379 (2005年12月), 特開2007-166431 (2007年6月),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ライアントデータベース構築方法，データ検索方法，データ検索システム，データ検索フィルタリングシステム，クライアントデータベース構築プログラム，データ検索プログラム，データ検索フィルタリングプログラム及びプログラムを格納したコンピュータで読み取り可能な記録媒体並びに記録した機器, 特願2006-071844 (2006年3月), 特許第2006-071844号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7"/>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特願2009-013725 (2009年1月),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特願PCT/JP2010/050789 (2009年1月),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医療用合金及び医療用具, 特願PCT/JP2010/050789 (2010年1月), 特許第US8,821,566 B2号 (2014年9月).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