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Phenomena Observed in Discrete-Time Coupled Chaotic Neurons Generating Oscillatory Responses with High Order of Period, 2009 RISP International Workshop on Nonlinear Circuits, Student Paper Award,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Iterative method based on a discretization of continuous-time image reconstruction for computed tomography, 2010 RISP International Workshop on Nonlinear Circuits, Student Paper Award,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連続CT画像再構成法の拡張によるバイナリ・トモグラフィ, 優秀研究賞, 第104回日本医学物理学会学術大会,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Extended Continuous-Time Image Reconstruction System for Binary and Continuous Tomography, NCSP'13 Student Paper Award, The Technical Program Committee of the 2013 RISP International Workshop on Nonlinear Circuits, Communications and Signal Processing,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立石 貴代子 : </w:t>
      </w:r>
      <w:r>
        <w:rPr>
          <w:rFonts w:ascii="" w:hAnsi="" w:cs="" w:eastAsia=""/>
          <w:b w:val="false"/>
          <w:i w:val="false"/>
          <w:strike w:val="false"/>
          <w:color w:val="000000"/>
          <w:sz w:val="20"/>
          <w:u w:val="none"/>
        </w:rPr>
        <w:t>康楽賞 (贈与規定第2条第2号 (学生の部 (学術研究))), 公益財団法人康楽会,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(贈与規定第2条第2号 (学生の部 (学術研究))), 公益財団法人康楽会,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和希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