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discontinuation of breastfeeding until 3 months after delivery,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2006.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恭子,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田中 千絵, 井手 信 : </w:t>
      </w:r>
      <w:r>
        <w:rPr>
          <w:rFonts w:ascii="" w:hAnsi="" w:cs="" w:eastAsia=""/>
          <w:b w:val="false"/>
          <w:i w:val="false"/>
          <w:strike w:val="false"/>
          <w:color w:val="000000"/>
          <w:sz w:val="20"/>
          <w:u w:val="none"/>
        </w:rPr>
        <w:t xml:space="preserve">看護学生の妊婦に対するイメージの検討,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255-259, 2007.</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助産師教育の現状と将来展望,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211-217,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教育課程の相違による助産に必要な看護技術の習得状況, --- 助産学実習前と実習終了時の比較から ---,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320-321,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母乳育児予測スケールの開発とその有用性の検証, </w:t>
      </w:r>
      <w:r>
        <w:rPr>
          <w:rFonts w:ascii="" w:hAnsi="" w:cs="" w:eastAsia=""/>
          <w:b w:val="false"/>
          <w:i w:val="true"/>
          <w:strike w:val="false"/>
          <w:color w:val="000000"/>
          <w:sz w:val="20"/>
          <w:u w:val="none"/>
        </w:rPr>
        <w:t xml:space="preserve">平成17∼18年度科学研究費補助金(基盤研究C)研究成果報告書, </w:t>
      </w:r>
      <w:r>
        <w:rPr>
          <w:rFonts w:ascii="" w:hAnsi="" w:cs="" w:eastAsia=""/>
          <w:b w:val="false"/>
          <w:i w:val="false"/>
          <w:strike w:val="false"/>
          <w:color w:val="000000"/>
          <w:sz w:val="20"/>
          <w:u w:val="none"/>
        </w:rPr>
        <w:t>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一友, 竹内 美恵子,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富松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日隅 ふみ子, 柳吉 桂子, 山口 雅子 : </w:t>
      </w:r>
      <w:r>
        <w:rPr>
          <w:rFonts w:ascii="" w:hAnsi="" w:cs="" w:eastAsia=""/>
          <w:b w:val="false"/>
          <w:i w:val="false"/>
          <w:strike w:val="false"/>
          <w:color w:val="000000"/>
          <w:sz w:val="20"/>
          <w:u w:val="none"/>
        </w:rPr>
        <w:t xml:space="preserve">2008年出題基準別助産師国家試験予想問題集,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Tomiyasu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Kyouko Kajihara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Fortin Eric : </w:t>
      </w:r>
      <w:r>
        <w:rPr>
          <w:rFonts w:ascii="" w:hAnsi="" w:cs="" w:eastAsia=""/>
          <w:b w:val="false"/>
          <w:i w:val="false"/>
          <w:strike w:val="false"/>
          <w:color w:val="000000"/>
          <w:sz w:val="20"/>
          <w:u w:val="none"/>
        </w:rPr>
        <w:t xml:space="preserve">Anxieties and Care Needs of Fathers with Multiple-Birth Children,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1669-1670,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54-63,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Breastfeeding: factors associated with the continuation of breastfeeding, the current situation in Japan, and recommendations for further research,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224-234,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2008年 出題基準別助産婦国家試験問題,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母乳外来における褥婦への母乳育児支援の有用性の検証, </w:t>
      </w:r>
      <w:r>
        <w:rPr>
          <w:rFonts w:ascii="" w:hAnsi="" w:cs="" w:eastAsia=""/>
          <w:b w:val="false"/>
          <w:i w:val="true"/>
          <w:strike w:val="false"/>
          <w:color w:val="000000"/>
          <w:sz w:val="20"/>
          <w:u w:val="none"/>
        </w:rPr>
        <w:t xml:space="preserve">平成19年度~平成20年度科学研究費補助金基盤研究(C)研究成果報告書,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成人看護学 成人看護学概論 大2版, ヌーヴェルヒロカワ,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352,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781-788,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293-304,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795-800,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99-101,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76-79,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801-806,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237,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429,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430,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560-569,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206-212,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80-83,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113,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系統看護学講座 別巻 がん看護学, 医学書院,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63-67,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454898, 2012.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28-39,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532-537,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125-130,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3-6,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19-22,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501-504,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1429-1434,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203-210,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162,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389,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看護のためのクリティカルケア場面の問題解決ガイド 基礎からわかる臨床に生かす倫理調整, 三輪書店,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系統看護学講座専門分野Ⅱ成人看護学概論 第14版, 医学書院,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1443-1448,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349-354,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355-360,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2"/>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2"/>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938-948,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136-143,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9-13,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342,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516,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周手術期看護論 第3版, ヌーヴェルヒロカワ,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27-34,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131-138,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2121-2128,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2444-2452,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194-204,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No.266, </w:t>
      </w:r>
      <w:r>
        <w:rPr>
          <w:rFonts w:ascii="" w:hAnsi="" w:cs="" w:eastAsia=""/>
          <w:b w:val="false"/>
          <w:i w:val="false"/>
          <w:strike w:val="false"/>
          <w:color w:val="000000"/>
          <w:sz w:val="20"/>
          <w:u w:val="none"/>
        </w:rPr>
        <w:t>35-45,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143-151,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599,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4"/>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e171-176,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654-661, 2015.</w:t>
      </w:r>
    </w:p>
    <w:p>
      <w:pPr>
        <w:numPr>
          <w:numId w:val="14"/>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271-280,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229-237,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776-787,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927(91)-937(101),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50-54, 2015.</w:t>
      </w:r>
    </w:p>
    <w:p>
      <w:pPr>
        <w:numPr>
          <w:numId w:val="14"/>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34-40,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4"/>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67-71,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252-257,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536-537,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540-543,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652-665,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1806-1814,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348-351,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238,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543,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1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危機状況にある患者・家族の危機の分析と看護介入 事例集 第2版, 株式会社金芳堂,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1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1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1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1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1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1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滝川 栄二, 江 戸 晶 子, 山 本 千 穂, 難 波 和 広, 松 浦 育 代, 鴨居 弘斉, 大 森 美 季, 片 岡 睦 子, 三 船 和 史, 大 坂 京 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 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矢ヶ崎 香, 上田 伊佐子, 板東 孝枝, 髙橋 亜希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橋本 理恵子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Hisala Yukari,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Plston. Gil, Baua Elizabeth, Papadopoulos Irena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none"/>
        </w:rPr>
        <w:t xml:space="preserve">Belitung Nursing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23"/>
        </w:numPr>
        <w:autoSpaceDE w:val="off"/>
        <w:autoSpaceDN w:val="off"/>
        <w:spacing w:line="-240" w:lineRule="auto"/>
        <w:ind w:left="30"/>
      </w:pPr>
      <w:r>
        <w:rPr>
          <w:rFonts w:ascii="" w:hAnsi="" w:cs="" w:eastAsia=""/>
          <w:b w:val="true"/>
          <w:i w:val="false"/>
          <w:strike w:val="false"/>
          <w:color w:val="000000"/>
          <w:sz w:val="20"/>
          <w:u w:val="none"/>
        </w:rPr>
        <w:t>Kai Yoshihiro, Seki Yuki, Wu Yuze,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none"/>
        </w:rPr>
        <w:t xml:space="preserve">Journal of Robotics and Mechatronics,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