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岸川 博紀,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変調方式変換器，中継器，及び変調方式の変換方法, 特願2011-163998 (2011年7月), .</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特願2014-075335 (2014年4月), 特開2015-197787 (2015年10月), 特許第6457727号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特願2014-075340 (2014年4月), 特開2015-197788 (2015年11月), 特許第6457728号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特願2014-075346 (2014年4月), 特開2015-197789 (2015年11月), 特許第6457729号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特願2014-244828 (2014年12月), 特開2016-110258 (2016年6月), 特許第6322127号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特願2014-244835 (2014年12月), 特開2016-110262 (2016年6月), 特許第6322128号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特願2014-244833 (2014年12月), 特開2016-110261 (2016年6月), 特許第6372854号 (2018年7月).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特願2014-244839 (2014年12月), 特開2016-110263 (2016年6月), 特許第6386352号 (2018年8月).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安永 遼真, 曽根 由明, 古川 哲治, 鈴木 謙一, 廣田 悠介, 渡邊 尚,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データ転送方法及び通信システム, 特願2015-140936(P2015-140936) (2015年7月), 特開2017-22669(P2017-22669A) (2017年1月), 特許第2017-022669号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特願2015-235641 (2015年12月), 特開2017-103626 (2017年6月), 特許第6593791号 (2019年10月).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特願2015-235647 (2015年12月), 特開2017-102719 (2017年6月), 特許第6617015号 (2019年12月).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特願2015-235628 (2015年12月), 特開2017-102718 (2017年6月), 特許第6664689号 (2020年2月).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手洗い監視システム, 特願2016-015286 (2016年1月), 特開2017-134712 (2017年8月), 特許第6305448号 (2018年3月).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照明装置及び照明方法, 特願2016-073116 (2016年3月),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