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一宮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論理回路の断線故障の検査装置, 特願2006-114044 (2006年4月), .</w:t>
      </w:r>
    </w:p>
    <w:p>
      <w:pPr>
        <w:numPr>
          <w:numId w:val="5"/>
        </w:numPr>
        <w:autoSpaceDE w:val="off"/>
        <w:autoSpaceDN w:val="off"/>
        <w:spacing w:line="-240" w:lineRule="auto"/>
        <w:ind w:left="30"/>
      </w:pP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一宮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電子回路の断線故障検査法とその検査容易化回路, 特願2006-309430 (2006年11月), 特開2008-122338 (2008年5月), .</w:t>
      </w:r>
    </w:p>
    <w:p>
      <w:pPr>
        <w:numPr>
          <w:numId w:val="5"/>
        </w:numPr>
        <w:autoSpaceDE w:val="off"/>
        <w:autoSpaceDN w:val="off"/>
        <w:spacing w:line="-240" w:lineRule="auto"/>
        <w:ind w:left="30"/>
      </w:pP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山田 篤,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算術符号化装置，算術符号化方法，算術符号化プログラム及びプログラムを格納したコンピュータで読み取り可能な記録媒体, 特願2008-503883 (2007年3月), 特開WO2007/102518 (2007年9月), 特許第4547503号 (2010年7月).</w:t>
      </w:r>
    </w:p>
    <w:p>
      <w:pPr>
        <w:numPr>
          <w:numId w:val="10"/>
        </w:numPr>
        <w:autoSpaceDE w:val="off"/>
        <w:autoSpaceDN w:val="off"/>
        <w:spacing w:line="-240" w:lineRule="auto"/>
        <w:ind w:left="30"/>
      </w:pP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板東 孝文,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動画像符号化装置，動画像符号化方法，動画像符号化プログラム及びコンピュータで読み取り可能な記録媒体, 特願2011-088674 (2011年4月), 特許第5950260号 (2016年6月).</w:t>
      </w:r>
    </w:p>
    <w:p>
      <w:pPr>
        <w:numPr>
          <w:numId w:val="11"/>
        </w:numPr>
        <w:autoSpaceDE w:val="off"/>
        <w:autoSpaceDN w:val="off"/>
        <w:spacing w:line="-240" w:lineRule="auto"/>
        <w:ind w:left="30"/>
      </w:pP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大畑 謙二, 猪口 博幸, 土田 孝雄 : </w:t>
      </w:r>
      <w:r>
        <w:rPr>
          <w:rFonts w:ascii="" w:hAnsi="" w:cs="" w:eastAsia=""/>
          <w:b w:val="false"/>
          <w:i w:val="false"/>
          <w:strike w:val="false"/>
          <w:color w:val="000000"/>
          <w:sz w:val="20"/>
          <w:u w:val="none"/>
        </w:rPr>
        <w:t>標識具の状態監視システム及び方法, 特願2012-112195 (2012年5月), 特開2013-238058 (2013年11月), 特許第2013-238058号 (2013年11月).</w:t>
      </w:r>
    </w:p>
    <w:p>
      <w:pPr>
        <w:numPr>
          <w:numId w:val="12"/>
        </w:numPr>
        <w:autoSpaceDE w:val="off"/>
        <w:autoSpaceDN w:val="off"/>
        <w:spacing w:line="-240" w:lineRule="auto"/>
        <w:ind w:left="30"/>
      </w:pP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電子回路の双方向信号線の電気検査法, 特願2013-79766 (2013年4月), .</w:t>
      </w:r>
    </w:p>
    <w:p>
      <w:pPr>
        <w:numPr>
          <w:numId w:val="12"/>
        </w:numPr>
        <w:autoSpaceDE w:val="off"/>
        <w:autoSpaceDN w:val="off"/>
        <w:spacing w:line="-240" w:lineRule="auto"/>
        <w:ind w:left="30"/>
      </w:pP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古賀 正文 : </w:t>
      </w:r>
      <w:r>
        <w:rPr>
          <w:rFonts w:ascii="" w:hAnsi="" w:cs="" w:eastAsia=""/>
          <w:b w:val="false"/>
          <w:i w:val="false"/>
          <w:strike w:val="false"/>
          <w:color w:val="000000"/>
          <w:sz w:val="20"/>
          <w:u w:val="none"/>
        </w:rPr>
        <w:t>増幅中継光ファイバ伝送システム及び光ファイバ伝送システム用増幅中継器,  (2013年8月), 特開2015-050670 (2015年), .</w:t>
      </w:r>
    </w:p>
    <w:p>
      <w:pPr>
        <w:numPr>
          <w:numId w:val="12"/>
        </w:numPr>
        <w:autoSpaceDE w:val="off"/>
        <w:autoSpaceDN w:val="off"/>
        <w:spacing w:line="-240" w:lineRule="auto"/>
        <w:ind w:left="30"/>
      </w:pP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古賀 正文 : </w:t>
      </w:r>
      <w:r>
        <w:rPr>
          <w:rFonts w:ascii="" w:hAnsi="" w:cs="" w:eastAsia=""/>
          <w:b w:val="false"/>
          <w:i w:val="false"/>
          <w:strike w:val="false"/>
          <w:color w:val="000000"/>
          <w:sz w:val="20"/>
          <w:u w:val="none"/>
        </w:rPr>
        <w:t>位相感応型光増幅器及び励起光位相同期回路,  (2014年2月), 特許第P11134号 (2014年2月).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