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熱交換器, 特願2014-266900 (2014年12月), 特開2016-125762 (2016年7月), 特許第6390053号 (2018年8月).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