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No.06-9,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Vol.No.07-3,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Vol.07-36,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Vol.085-2,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No.08-33,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No.3293,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No.0055,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No.S134011,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