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Hokyoo Lee, Hisatoshi Ueda, Tadayoshi Miyamoto,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183-189,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350-357,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CT-13-81, </w:t>
      </w:r>
      <w:r>
        <w:rPr>
          <w:rFonts w:ascii="" w:hAnsi="" w:cs="" w:eastAsia=""/>
          <w:b w:val="false"/>
          <w:i w:val="false"/>
          <w:strike w:val="false"/>
          <w:color w:val="000000"/>
          <w:sz w:val="20"/>
          <w:u w:val="none"/>
        </w:rPr>
        <w:t>105-110,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929-934,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166-173,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984-987,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CT-16-006, </w:t>
      </w:r>
      <w:r>
        <w:rPr>
          <w:rFonts w:ascii="" w:hAnsi="" w:cs="" w:eastAsia=""/>
          <w:b w:val="false"/>
          <w:i w:val="false"/>
          <w:strike w:val="false"/>
          <w:color w:val="000000"/>
          <w:sz w:val="20"/>
          <w:u w:val="none"/>
        </w:rPr>
        <w:t>1-4,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CT-16-007, </w:t>
      </w:r>
      <w:r>
        <w:rPr>
          <w:rFonts w:ascii="" w:hAnsi="" w:cs="" w:eastAsia=""/>
          <w:b w:val="false"/>
          <w:i w:val="false"/>
          <w:strike w:val="false"/>
          <w:color w:val="000000"/>
          <w:sz w:val="20"/>
          <w:u w:val="none"/>
        </w:rPr>
        <w:t>5-8,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CT-16-016, </w:t>
      </w:r>
      <w:r>
        <w:rPr>
          <w:rFonts w:ascii="" w:hAnsi="" w:cs="" w:eastAsia=""/>
          <w:b w:val="false"/>
          <w:i w:val="false"/>
          <w:strike w:val="false"/>
          <w:color w:val="000000"/>
          <w:sz w:val="20"/>
          <w:u w:val="none"/>
        </w:rPr>
        <w:t>35-37,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