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Joonhwan Shim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Ning ZHANG, Jiazhoug ZHANG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Toaha Safiul Alam Mohammad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Krunal GIRASE, Min-Gyu JEON,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Girase KRUNAL, JEON Min-gyu,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JEON Min-gyu,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Toaha Alam Safil,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Cui Minchao,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Cui Mincho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Qiming Wang,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Cui Minchao,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