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IIC-07-79, </w:t>
      </w:r>
      <w:r>
        <w:rPr>
          <w:rFonts w:ascii="" w:hAnsi="" w:cs="" w:eastAsia=""/>
          <w:b w:val="false"/>
          <w:i w:val="false"/>
          <w:strike w:val="false"/>
          <w:color w:val="000000"/>
          <w:sz w:val="20"/>
          <w:u w:val="none"/>
        </w:rPr>
        <w:t>53-58,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Zhang Le, Minoru Sasaki, Yoshiki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Earth Mover's Distance Using EMD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OIS2008-86, </w:t>
      </w:r>
      <w:r>
        <w:rPr>
          <w:rFonts w:ascii="" w:hAnsi="" w:cs="" w:eastAsia=""/>
          <w:b w:val="false"/>
          <w:i w:val="false"/>
          <w:strike w:val="false"/>
          <w:color w:val="000000"/>
          <w:sz w:val="20"/>
          <w:u w:val="none"/>
        </w:rPr>
        <w:t>65-70,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Earth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continuous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single"/>
        </w:rPr>
        <w:t>Journal of University of Science and Technology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Ning Liu, Zheng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Yokotani, Ryuichi Tanioka, Chihiro Kawai,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(名) TELYUKA,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XiongFei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Emoji Recommendation Method Focusing on the Distribution of Emotion in the Context, </w:t>
      </w:r>
      <w:r>
        <w:rPr>
          <w:rFonts w:ascii="" w:hAnsi="" w:cs="" w:eastAsia=""/>
          <w:b w:val="false"/>
          <w:i w:val="true"/>
          <w:strike w:val="false"/>
          <w:color w:val="000000"/>
          <w:sz w:val="20"/>
          <w:u w:val="none"/>
        </w:rPr>
        <w:t xml:space="preserve">Proceedings of the 2024 20th International Conference on Natural Computation, Fuzzy Systems, and Knowledge Discovery,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213-221,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193-202,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AIによるスマートビジョンの応用,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TC14-1,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Rong Chen,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Changyan Xu : </w:t>
      </w:r>
      <w:r>
        <w:rPr>
          <w:rFonts w:ascii="" w:hAnsi="" w:cs="" w:eastAsia=""/>
          <w:b w:val="false"/>
          <w:i w:val="false"/>
          <w:strike w:val="false"/>
          <w:color w:val="000000"/>
          <w:sz w:val="20"/>
          <w:u w:val="none"/>
        </w:rPr>
        <w:t xml:space="preserve">3D Visualization System of Breast Magnetic Resonance Images Based on Deep Learning and Volume Rendering,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116765-116784,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single"/>
        </w:rPr>
        <w:t>IEEE Transactions on Fuzzy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Zhou Jiazheng,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Weiping, Wang Linhuang, Ding Fei,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Zhang Chenmeng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Huiwen : </w:t>
      </w:r>
      <w:r>
        <w:rPr>
          <w:rFonts w:ascii="" w:hAnsi="" w:cs="" w:eastAsia=""/>
          <w:b w:val="false"/>
          <w:i w:val="false"/>
          <w:strike w:val="false"/>
          <w:color w:val="000000"/>
          <w:sz w:val="20"/>
          <w:u w:val="none"/>
        </w:rPr>
        <w:t xml:space="preserve">SAGE-Net: Single-layer Augmented Gated Encoder Network for Efficient Multimodal Sentiment Analysis,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JSiSE防災教育マップ作成の道のり—問いを体系化する際に必要なもの—,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159-172, 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 Huiwen,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Hsieh Yi-Zeng : </w:t>
      </w:r>
      <w:r>
        <w:rPr>
          <w:rFonts w:ascii="" w:hAnsi="" w:cs="" w:eastAsia=""/>
          <w:b w:val="false"/>
          <w:i w:val="false"/>
          <w:strike w:val="false"/>
          <w:color w:val="000000"/>
          <w:sz w:val="20"/>
          <w:u w:val="none"/>
        </w:rPr>
        <w:t xml:space="preserve">IMER-GAR: An Improved Multimodal Emotion Recognition Model with GNNs and Attention Mechanisms for Enhanced Robustness,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Tian Ruiqi,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Efcient Fusion for Multimodal Sentiment Analysis: The DSOAN Approach,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24"/>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