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骨髄腫細胞は形質細胞とどこが違うのか?, --- 骨髄環境との相互作用 ---,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Murakami, Hiroshi Fujii, Tohru Inaba, Chihiro Shimazaki, Sinichirou Okamoto, Akiyosi Miwa, Morio Sawamura,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Takaaki Chou, Hideki Asaoku, Yoshikazu Kitahara, Kunihiko Hayashi, Masaaki Kosaka, Atsushi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Takatsuki : </w:t>
      </w:r>
      <w:r>
        <w:rPr>
          <w:rFonts w:ascii="" w:hAnsi="" w:cs="" w:eastAsia=""/>
          <w:b w:val="false"/>
          <w:i w:val="false"/>
          <w:strike w:val="false"/>
          <w:color w:val="000000"/>
          <w:sz w:val="20"/>
          <w:u w:val="none"/>
        </w:rPr>
        <w:t xml:space="preserve">High-dose chemotherapy and autologous peripheral blood stem cell transplantation in high-risk multiple myeloma, </w:t>
      </w:r>
      <w:r>
        <w:rPr>
          <w:rFonts w:ascii="" w:hAnsi="" w:cs="" w:eastAsia=""/>
          <w:b w:val="false"/>
          <w:i w:val="true"/>
          <w:strike w:val="false"/>
          <w:color w:val="000000"/>
          <w:sz w:val="20"/>
          <w:u w:val="single"/>
        </w:rPr>
        <w:t>European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690-695,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266-267,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2012.</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1274-1281,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14-17,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2135-2141,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577-583,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697-702,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1068-1073,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518-523,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692-698,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522-532,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696-698,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5225-5237,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2670-2677,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2661-2669,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996-1002,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VI84,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26-28,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