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451-456, 2006.</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