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石橋 広樹, 宮谷 智彦 : </w:t>
      </w:r>
      <w:r>
        <w:rPr>
          <w:rFonts w:ascii="" w:hAnsi="" w:cs="" w:eastAsia=""/>
          <w:b w:val="false"/>
          <w:i w:val="false"/>
          <w:strike w:val="false"/>
          <w:color w:val="000000"/>
          <w:sz w:val="20"/>
          <w:u w:val="none"/>
        </w:rPr>
        <w:t xml:space="preserve">小児鏡視下手術に役立つ材料，器具，装置,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2004.</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膀胱滑脱を伴う鼠径ヘルニアはどうする?,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877-880,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高位鎖肛術後成人期の生殖機能障害.,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須山 正文, 信川 文誠, 藤井 秀樹, 渡辺 康宏,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小児胆管径の基準値からみた胆管拡張の定義の問題点,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1269-1272,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Terumi Kamisawa, Masafumi Suyama, Naotaka Fujita, Hiroyuki Maguchi, Keiji Hanada, Seiyo Ikeda, Yoshinori Igarashi, Takao Itoi, Mitsuhiro Kida, Goro Honda, Jinkan Sai, Jun Horaguchi, Kuniyuki Takahashi, Takamitsu Sasaki, Kensuke Takuma, Fumihide Itokawa, Hisami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Pancreatobiliary reflux and the length of a common channel.,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865-870,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Kuyama Hisako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第6回アジア太平洋ヘルニア学会(APHA), </w:t>
      </w:r>
      <w:r>
        <w:rPr>
          <w:rFonts w:ascii="" w:hAnsi="" w:cs="" w:eastAsia=""/>
          <w:b w:val="false"/>
          <w:i w:val="false"/>
          <w:strike w:val="false"/>
          <w:color w:val="000000"/>
          <w:sz w:val="20"/>
          <w:u w:val="none"/>
        </w:rPr>
        <w:t>韓国,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信川 正文, 藤井 秀樹,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小児胆管径の基準値に関する検討-日本膵・胆管合流異常研究会診断基準検討委員会報告 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``これでいいの?``内鼠径ヘルニアに対する臍ヒダ披覆法, </w:t>
      </w:r>
      <w:r>
        <w:rPr>
          <w:rFonts w:ascii="" w:hAnsi="" w:cs="" w:eastAsia=""/>
          <w:b w:val="false"/>
          <w:i w:val="true"/>
          <w:strike w:val="false"/>
          <w:color w:val="000000"/>
          <w:sz w:val="20"/>
          <w:u w:val="none"/>
        </w:rPr>
        <w:t xml:space="preserve">第9回小児鼠径ヘルニア腹腔鏡下手術研究会,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LPEC日常化による鏡視下術野への慣れとシステム器材への親和, </w:t>
      </w:r>
      <w:r>
        <w:rPr>
          <w:rFonts w:ascii="" w:hAnsi="" w:cs="" w:eastAsia=""/>
          <w:b w:val="false"/>
          <w:i w:val="true"/>
          <w:strike w:val="false"/>
          <w:color w:val="000000"/>
          <w:sz w:val="20"/>
          <w:u w:val="none"/>
        </w:rPr>
        <w:t xml:space="preserve">第23回 日本内視鏡外科学会,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先天性腸回転異常を伴った2新生児例の中朝軸捻転に対する腹腔鏡下手術, </w:t>
      </w:r>
      <w:r>
        <w:rPr>
          <w:rFonts w:ascii="" w:hAnsi="" w:cs="" w:eastAsia=""/>
          <w:b w:val="false"/>
          <w:i w:val="true"/>
          <w:strike w:val="false"/>
          <w:color w:val="000000"/>
          <w:sz w:val="20"/>
          <w:u w:val="none"/>
        </w:rPr>
        <w:t xml:space="preserve">第98回 徳島周産期研究会,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小児・成人にみられる慢性便秘に対する腹腔鏡下lendororectal pull-through法,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標準的LPEC法におけるより安全・簡便化への``ノウ・ハウ'',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腹腔鏡下根治術をおこなった臍腸瘻の2例, </w:t>
      </w:r>
      <w:r>
        <w:rPr>
          <w:rFonts w:ascii="" w:hAnsi="" w:cs="" w:eastAsia=""/>
          <w:b w:val="false"/>
          <w:i w:val="true"/>
          <w:strike w:val="false"/>
          <w:color w:val="000000"/>
          <w:sz w:val="20"/>
          <w:u w:val="none"/>
        </w:rPr>
        <w:t xml:space="preserve">腹腔鏡下根治術をおこなった臍腸瘻の2例,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当科における新生児の腹腔鏡下手術症例の検討,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腸回転異常症に対する腹腔鏡下手術の2新生児例,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81-90,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228-241,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686-691,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