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No.4270,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61-67,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1235-1237,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867-872,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S130-S134,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266-269,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115-120,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e16-e23,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577-582,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e111-e115,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615-621,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78-84,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