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血管平滑筋細胞におけるカリウムチャンネルの役割解明と制御機序に関する研究,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2010年1月.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第46回に本小児腎臓病学会学術集会 森田賞, 日本小児腎臓病学会,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Urinary angiotensinogen as a biomarker of the intrarenal status of the renin-angiotensin system in patients with chronic glomerulonephritis, The 11th Asian Congress of Pediatric Nephrology 2011, Young Investigator Award, Asian Congress of Pediatric Nephrology,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Combination therapy with CCR2 antagonist and angiotensin II type 1 receptor blocker markedly ameliorates crescentic glomerulonephritis, 第54回日本腎臓学会学術総会 優秀演題賞, 日本腎臓学会,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第136回日本小児科学会徳島地方会，黒田医学賞, 徳島大学小児科,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第18回青藍会賞, 青藍会, 2011年7月.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腎発生における尿中アンジオテンシノーゲンの臨床的意義の検討, 第45回日本腎臓学会西部学術大会優秀演題賞, 日本腎臓学会, 2015年10月.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ラット半月体形成性腎炎モデルにおける(プロ)レニン受容体を介した病態機序と直接レニン阻害薬による治療効果, 第51回日本小児腎臓病学会学術集会奨励賞基礎遺伝子関連部門, 2016年7月.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小児腎病態における腎内レニン・アンジオテンシン系活性化の制御機構, 2019年日本小児科学会学術研究賞, 日本小児科学会, 2019年4月.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