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胎児心室間の圧較差について心時相からの解析 (心室中隔欠損単独症例からの検討), 里見賞「研究部門」,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Toshiya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UniBIO Press Award, UniBIO Press,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利也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学会賞(八木賞), 中国四国産科婦人科学会, 2013年9月.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保健学科の教育, 保健学科教育賞, 2015年2月.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2016年2月.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学会賞, 日本女性医学学会, 2015年11月.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ベストティーチャーオブザイヤー2016,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由理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ovaries necrosis factor alpha inhibits ovulation and induces granulosa cell death in rat Tumor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RMB優秀論文賞, 日本生殖医学会, 2016年11月.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2018年2月.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保健学科教育賞2017年度, 2018年2月.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保健学科教育賞2018年度,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栄養状態が生殖機能に及ぼす影響とその内分泌学的機序, 学術奨励賞, 日本産科婦人科学会,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保健学科教育賞2020年度, 2021年2月.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河北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ベストティーチャー・オブ・ザ・イヤー・イン・クリ ニカル・クラークシップ2021,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河北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Sphingosine 1-phosphate (S1P)M2 Macrophage (MΦ), 第43回 日本エンドメトリオーシス学会演題発表賞(基礎部門), 日本エンドメトリオーシス学会, 2022年1月.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保健学科教育賞2021年度, 2022年2月.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保健学科教育賞2023年度, 2024年2月.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乾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factors associated with dose modification of Olaparib in ovarian cancer patients, 第61回日本癌治療学会学術集会Young Oncologist Award, 日本癌治療学会,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