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卒業研究のプレゼンテーション評価とその展開, 日本工学教育協会賞「論文·論説賞」,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2005年9月.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Best Presentation Award, </w:t>
      </w:r>
      <w:r>
        <w:rPr>
          <w:rFonts w:ascii="" w:hAnsi="" w:cs="" w:eastAsia=""/>
          <w:b w:val="false"/>
          <w:i w:val="false"/>
          <w:strike w:val="false"/>
          <w:color w:val="000000"/>
          <w:sz w:val="20"/>
          <w:u w:val="single"/>
        </w:rPr>
        <w:t>Japanese Society for Engineering Education</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創造基礎実習におけるフィードバック型評価手法の教育的効果に関する研究, 中国・四国工学教育協会賞, 中国・四国工学教育協会, 2006年6月.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思考ツールをつかった計画能力育成の試み, Best Presentation Award,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海江田 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燃焼合成法の研究,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2008年1月.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工学部および大学院の教育および研究における国際化に対する貢献が顕著である, 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徳島大学先端技術科学教育部におけるグローバル大学院工学教育における優れた教育実績, グローバル大学院工学教育賞,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食品衛生品質向上のための境界面混入異物検出法の開発, 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Solar Boat Project, The ACEE 2009 SPECIAL AWARD, Korea Institute for Advancement of Technology,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材料学の進歩発展への寄与と日本材料学会支部運営への貢献, 日本材料学会支部功労賞,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2009年5月.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Certificate of appreciation for iDECON2010, </w:t>
      </w:r>
      <w:r>
        <w:rPr>
          <w:rFonts w:ascii="" w:hAnsi="" w:cs="" w:eastAsia=""/>
          <w:b w:val="false"/>
          <w:i w:val="false"/>
          <w:strike w:val="false"/>
          <w:color w:val="000000"/>
          <w:sz w:val="20"/>
          <w:u w:val="single"/>
        </w:rPr>
        <w:t>Universiti Teknikal Malaysia Melaka</w:t>
      </w:r>
      <w:r>
        <w:rPr>
          <w:rFonts w:ascii="" w:hAnsi="" w:cs="" w:eastAsia=""/>
          <w:b w:val="false"/>
          <w:i w:val="false"/>
          <w:strike w:val="false"/>
          <w:color w:val="000000"/>
          <w:sz w:val="20"/>
          <w:u w:val="none"/>
        </w:rPr>
        <w:t>, Sep. 2010.</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