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efficient anticancer therapeutic strategy targeting PARP activation., Special Poster Presentation Award, The Korean Society of Pharmacology, Nov.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