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大谷 彬 : </w:t>
      </w:r>
      <w:r>
        <w:rPr>
          <w:rFonts w:ascii="" w:hAnsi="" w:cs="" w:eastAsia=""/>
          <w:b w:val="false"/>
          <w:i w:val="false"/>
          <w:strike w:val="false"/>
          <w:color w:val="000000"/>
          <w:sz w:val="20"/>
          <w:u w:val="none"/>
        </w:rPr>
        <w:t>蛍光色素を用いた歯周病の簡易検査, 特願2015-129848 (2015年6月),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特開Preparation of heterocycle-containing amino acid as fertilizer and plant growth regulating agent (2017年5月), 特許第WO 2017082111号.</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特許第6347396号 (2018年6月).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複素環含有アミノ酸又はその塩，並びにそれを用いた肥料及び植物成長調整剤,  (2018年8月), 特許第2018-160612号.</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