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9046-9047,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9608-9609,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2093-2103,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764-767,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2133-2144,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798-801,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1286-1287,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11881-11890,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8203-8206,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942-945,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3671-3675,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509-512,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2772-2773,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2771-2781,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2003,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311-318,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P107,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P134,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28B11-30,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28B11-20,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86-87,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78-79,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1995-1998,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3335-3338,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5690-5697,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576-580,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747-752,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325-331,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617-620,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2118-2119,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4229-4239,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1417-1422,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1382-1383, 2009.</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special issue #1, </w:t>
      </w:r>
      <w:r>
        <w:rPr>
          <w:rFonts w:ascii="" w:hAnsi="" w:cs="" w:eastAsia=""/>
          <w:b w:val="false"/>
          <w:i w:val="false"/>
          <w:strike w:val="false"/>
          <w:color w:val="000000"/>
          <w:sz w:val="20"/>
          <w:u w:val="none"/>
        </w:rPr>
        <w:t>S160,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606-617,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4792-4795,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8392-8393,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8931-8934,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2427-2433,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990-1001, 2010.</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438-439,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814-817,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5819-5826, 2010.</w:t>
      </w:r>
    </w:p>
    <w:p>
      <w:pPr>
        <w:numPr>
          <w:numId w:val="9"/>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809-818,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9236-9239,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8713-8718,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797-801,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1213-1217,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10881-10889,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3410-3412,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3342-3344,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603-608,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The 21st French-Japanese Symposium on Medicinal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Yamashita,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Motomochi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4564-4570,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6028, </w:t>
      </w:r>
      <w:r>
        <w:rPr>
          <w:rFonts w:ascii="" w:hAnsi="" w:cs="" w:eastAsia=""/>
          <w:b w:val="false"/>
          <w:i w:val="false"/>
          <w:strike w:val="false"/>
          <w:color w:val="000000"/>
          <w:sz w:val="20"/>
          <w:u w:val="none"/>
        </w:rPr>
        <w:t>448-451,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1504-1509,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885-888,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805-810,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5568-5571,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5428-5431,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0"/>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124-128,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982-984,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672-673,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5280-5282,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527-532,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1"/>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5580-5588,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599-609,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8317-8320,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8231-8243,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9962-9972,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2124-2134,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9240-9249,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15578-15581,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1374-1376,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8993-9001,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2927-2932, 2012.</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7095-7100,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398-406,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2848-2856,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6071-6075,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200-203,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165-168,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683-690,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1687-1692,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2082-2084,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1963-1972,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209-220,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269-274,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111-112,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5273-5280,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136-140, 2013.</w:t>
      </w:r>
    </w:p>
    <w:p>
      <w:pPr>
        <w:numPr>
          <w:numId w:val="12"/>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3662-3666,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9121-9129,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3666-3669,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123-128,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12"/>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5447-5453,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1835-1864,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6636-6643,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4025-4033,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2423-2431,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Hongyan Cui, Weijia Wu,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Kunichi Miyazawa, Takayuki Hattori, Kimie Sai, Mikihiko Naito, Kazuhiro Suzuki, Tetsuji Nishimura, Yoshimitsu Sakamoto, Akio Ogata, Tomokazu Maeno, Akiko Inomata, Dai Nakae, Akihiko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Nishimaki-Mogami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1716-1724,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Nobumichi Ohoka, Katsunori Nagai, Takayuki Hattori,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Takaya Nagakubo, Yosuke Demizu, Yasunari Kanda, Takashi Misawa, Takuji Shoda,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1921-1924,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13"/>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1123-1131,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Takuji Shoda, Masashi Kato, Rintaro Harada, Takuma Fujisato,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Hideshi Inoue,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3091-3096,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Demizu, Takashi Misawa, Takaya Nagakubo, Yasunari Kanda,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4132-4138,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Takayuki Hattori, Nobumichi Ohoka, Norihito Shibata, Masaaki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1366, </w:t>
      </w:r>
      <w:r>
        <w:rPr>
          <w:rFonts w:ascii="" w:hAnsi="" w:cs="" w:eastAsia=""/>
          <w:b w:val="false"/>
          <w:i w:val="false"/>
          <w:strike w:val="false"/>
          <w:color w:val="000000"/>
          <w:sz w:val="20"/>
          <w:u w:val="none"/>
        </w:rPr>
        <w:t>549-560,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40-43,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2655-2658,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1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4556-4570, 2017.</w:t>
      </w:r>
    </w:p>
    <w:p>
      <w:pPr>
        <w:numPr>
          <w:numId w:val="1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915-924,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6776-6790,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1023-1029,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191-203,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703-708,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451-457,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102-107,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602, </w:t>
      </w:r>
      <w:r>
        <w:rPr>
          <w:rFonts w:ascii="" w:hAnsi="" w:cs="" w:eastAsia=""/>
          <w:b w:val="false"/>
          <w:i w:val="false"/>
          <w:strike w:val="false"/>
          <w:color w:val="000000"/>
          <w:sz w:val="20"/>
          <w:u w:val="none"/>
        </w:rPr>
        <w:t>120601, 2021.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101067, 2021.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343, </w:t>
      </w:r>
      <w:r>
        <w:rPr>
          <w:rFonts w:ascii="" w:hAnsi="" w:cs="" w:eastAsia=""/>
          <w:b w:val="false"/>
          <w:i w:val="false"/>
          <w:strike w:val="false"/>
          <w:color w:val="000000"/>
          <w:sz w:val="20"/>
          <w:u w:val="none"/>
        </w:rPr>
        <w:t>392-399,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1779-1788,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90-100,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2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