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5"/>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942-947,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569-578,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1553-1558, 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205-210,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6345-6353,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3916-3918,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5176-5179,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173-177,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425-431,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173-185,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false"/>
          <w:strike w:val="false"/>
          <w:color w:val="000000"/>
          <w:sz w:val="20"/>
          <w:u w:val="none"/>
        </w:rPr>
        <w:t>339-343,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258-264,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S293,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1388-1391,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23-40, Jan.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49-55, 2015.</w:t>
      </w:r>
    </w:p>
    <w:p>
      <w:pPr>
        <w:numPr>
          <w:numId w:val="8"/>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565-572,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298-304,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13671-13687,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4502-4504,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1200-1207,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8"/>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1091-1097,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224,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113,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9"/>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1705-1732,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3931-3940,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9"/>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1806-1812, 2017.</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842-843,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e2000213,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