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立体規則性の高い多官能性ポリマー及びその製造方法, 特願2009-014816 (2009年1月),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後藤 信夫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柳谷 伸一郎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木宮 健太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光スイッチ, 特願2009-042874 (2009年2月), 特開2010-197743 (2010年9月), 特許第5019483号 (2012年6月).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上原 信知, 釜野 勝,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基板内部検査装置，基板内部検査方法，及び基板の製造方法, 特願2009158448 (2009年7月), 特開201113130 (2011年1月), 特許第5419080号 (2013年11月).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Hitoshi Tanaka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Polyfunctional Polymer of High Stereoregularity and Method for Producing the Same, PCT/JP2010/051301 (Jan. 2010), WO2010/084997 A1 (Jul. 2010), 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釜野 勝, 下野 雄輝, 上原 信知, 柳田 勝之, 山田 信治,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ドラゴンフルーツ果実の製造方法，及びドラゴンフルーツ果実, 特願2010069911 (2010年3月), 特開2011200159 (2011年10月), 特許第5704627号 (2015年3月).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