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歯周病のメンテナンス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Dancan Lisa,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Chandad Fatiha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Grenier Daniel : </w:t>
      </w:r>
      <w:r>
        <w:rPr>
          <w:rFonts w:ascii="" w:hAnsi="" w:cs="" w:eastAsia=""/>
          <w:b w:val="false"/>
          <w:i w:val="false"/>
          <w:strike w:val="false"/>
          <w:color w:val="000000"/>
          <w:sz w:val="20"/>
          <w:u w:val="none"/>
        </w:rPr>
        <w:t xml:space="preserve">Loss of lipopolysaccharide receptor CD14 from the surface of human macrophage-like cells mediated by Porphyromonas gingivalis outer membrane vesicles,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319-325,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Denis Mayrand : </w:t>
      </w:r>
      <w:r>
        <w:rPr>
          <w:rFonts w:ascii="" w:hAnsi="" w:cs="" w:eastAsia=""/>
          <w:b w:val="false"/>
          <w:i w:val="false"/>
          <w:strike w:val="false"/>
          <w:color w:val="000000"/>
          <w:sz w:val="20"/>
          <w:u w:val="none"/>
        </w:rPr>
        <w:t xml:space="preserve">Binding lipopolysaccharides to Peptostreptococcus micros stimulates tumor necrosis factor alpha production by macrophage-like cells,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