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第Ⅱ部 臨床編 第5章 壮・中年期(25∼64歳), 永末書店,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