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Novel brief questionnaire using a face rating scale to assess dental anxiety and fear, </w:t>
      </w:r>
      <w:r>
        <w:rPr>
          <w:rFonts w:ascii="" w:hAnsi="" w:cs="" w:eastAsia=""/>
          <w:b w:val="false"/>
          <w:i w:val="true"/>
          <w:strike w:val="false"/>
          <w:color w:val="000000"/>
          <w:sz w:val="20"/>
          <w:u w:val="none"/>
        </w:rPr>
        <w:t xml:space="preserve">Journal of Advanced Prosthodontics,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