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口腔領域におけるヘルペスウイルス感染症の診断と治療に関する研究, 康楽賞, </w:t>
      </w:r>
      <w:r>
        <w:rPr>
          <w:rFonts w:ascii="" w:hAnsi="" w:cs="" w:eastAsia=""/>
          <w:b w:val="false"/>
          <w:i w:val="false"/>
          <w:strike w:val="false"/>
          <w:color w:val="000000"/>
          <w:sz w:val="20"/>
          <w:u w:val="single"/>
        </w:rPr>
        <w:t>口腔保健基礎学講座</w:t>
      </w:r>
      <w:r>
        <w:rPr>
          <w:rFonts w:ascii="" w:hAnsi="" w:cs="" w:eastAsia=""/>
          <w:b w:val="false"/>
          <w:i w:val="false"/>
          <w:strike w:val="false"/>
          <w:color w:val="000000"/>
          <w:sz w:val="20"/>
          <w:u w:val="none"/>
        </w:rPr>
        <w:t>,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口腔体操プログラムは自立高齢者の口腔機能と健康および口腔リテラシーに 影響を与える, 第3回徳島大学女性研究者イノベーションアワード2022, 徳島大学AWAサポートセンター, 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