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129-131,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false"/>
          <w:strike w:val="false"/>
          <w:color w:val="000000"/>
          <w:sz w:val="20"/>
          <w:u w:val="none"/>
        </w:rPr>
        <w:t>108-114,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287-288,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303-307, 2009年1月.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342-343,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222-227,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29, </w:t>
      </w:r>
      <w:r>
        <w:rPr>
          <w:rFonts w:ascii="" w:hAnsi="" w:cs="" w:eastAsia=""/>
          <w:b w:val="false"/>
          <w:i w:val="false"/>
          <w:strike w:val="false"/>
          <w:color w:val="000000"/>
          <w:sz w:val="20"/>
          <w:u w:val="none"/>
        </w:rPr>
        <w:t>62-66,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false"/>
          <w:strike w:val="false"/>
          <w:color w:val="000000"/>
          <w:sz w:val="20"/>
          <w:u w:val="none"/>
        </w:rPr>
        <w:t>17-24,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18-19,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76-77, 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false"/>
          <w:strike w:val="false"/>
          <w:color w:val="000000"/>
          <w:sz w:val="20"/>
          <w:u w:val="none"/>
        </w:rPr>
        <w:t>13-17,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113, </w:t>
      </w:r>
      <w:r>
        <w:rPr>
          <w:rFonts w:ascii="" w:hAnsi="" w:cs="" w:eastAsia=""/>
          <w:b w:val="false"/>
          <w:i w:val="false"/>
          <w:strike w:val="false"/>
          <w:color w:val="000000"/>
          <w:sz w:val="20"/>
          <w:u w:val="none"/>
        </w:rPr>
        <w:t>165-173, 2012.</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71-74,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106,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460,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99-105,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454-460,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59-63,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80-85,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89-92,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183-189,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2013,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49-54,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569-572,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23-31,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1538-1544,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603-608,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171,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Supplement 1, </w:t>
      </w:r>
      <w:r>
        <w:rPr>
          <w:rFonts w:ascii="" w:hAnsi="" w:cs="" w:eastAsia=""/>
          <w:b w:val="false"/>
          <w:i w:val="false"/>
          <w:strike w:val="false"/>
          <w:color w:val="000000"/>
          <w:sz w:val="20"/>
          <w:u w:val="none"/>
        </w:rPr>
        <w:t>S-167,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白山 靖彦 : </w:t>
      </w:r>
      <w:r>
        <w:rPr>
          <w:rFonts w:ascii="" w:hAnsi="" w:cs="" w:eastAsia=""/>
          <w:b w:val="false"/>
          <w:i w:val="false"/>
          <w:strike w:val="false"/>
          <w:color w:val="000000"/>
          <w:sz w:val="20"/>
          <w:u w:val="none"/>
        </w:rPr>
        <w:t xml:space="preserve">障害者支援施設(就労移行支援事業所)における就労移行決定のプロセスに関する検討,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37, 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2014, </w:t>
      </w:r>
      <w:r>
        <w:rPr>
          <w:rFonts w:ascii="" w:hAnsi="" w:cs="" w:eastAsia=""/>
          <w:b w:val="false"/>
          <w:i w:val="false"/>
          <w:strike w:val="false"/>
          <w:color w:val="000000"/>
          <w:sz w:val="20"/>
          <w:u w:val="none"/>
        </w:rPr>
        <w:t>436206, 2014.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216,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93-96,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e112689,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29-36,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85-88,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103-107,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73-90,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255-260,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1059-1065,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233,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216,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224,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246,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150, 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2016 社会福祉士国家試験過去問解説集, 中央法規出版,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介護支援専門員速習テキスト第19版, 日総研,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ケアマネしあわせ便利帳2015年度版,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高次脳機能障害者の自動車運転再開とリハビリテーション2 「支援体制」,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高齢者虐待「母親に対する介護放棄のケースへの支援」, 日総研, 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就労支援サービス, 日総研, 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 日総研出版,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348-353,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false"/>
          <w:strike w:val="false"/>
          <w:color w:val="000000"/>
          <w:sz w:val="20"/>
          <w:u w:val="none"/>
        </w:rPr>
        <w:t>349-358,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63-70,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e0148860,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多様な参加者で構成される趣味活動への企業退職男性高齢者の参加と継続-組織戦略と参加メンバーの相互の視点から-,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39-55,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118, </w:t>
      </w:r>
      <w:r>
        <w:rPr>
          <w:rFonts w:ascii="" w:hAnsi="" w:cs="" w:eastAsia=""/>
          <w:b w:val="false"/>
          <w:i w:val="false"/>
          <w:strike w:val="false"/>
          <w:color w:val="000000"/>
          <w:sz w:val="20"/>
          <w:u w:val="none"/>
        </w:rPr>
        <w:t>6-13,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208,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男性高齢者が参加する社会組織のメンバー特性と関連要因-青壮年者との比較から-, </w:t>
      </w:r>
      <w:r>
        <w:rPr>
          <w:rFonts w:ascii="" w:hAnsi="" w:cs="" w:eastAsia=""/>
          <w:b w:val="false"/>
          <w:i w:val="true"/>
          <w:strike w:val="false"/>
          <w:color w:val="000000"/>
          <w:sz w:val="20"/>
          <w:u w:val="none"/>
        </w:rPr>
        <w:t xml:space="preserve">日本老年社会科学会第57回大会,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三野 聖子, 榎 恵子, 岡林 愛, 井手口 英章 : </w:t>
      </w:r>
      <w:r>
        <w:rPr>
          <w:rFonts w:ascii="" w:hAnsi="" w:cs="" w:eastAsia=""/>
          <w:b w:val="false"/>
          <w:i w:val="false"/>
          <w:strike w:val="false"/>
          <w:color w:val="000000"/>
          <w:sz w:val="20"/>
          <w:u w:val="none"/>
        </w:rPr>
        <w:t xml:space="preserve">某歯科衛生士専門学校における友人との学習活動と学習との関連について-第2報-,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157, 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163, 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高次脳機能障害者の医療同意に関する専門職への意識調査, </w:t>
      </w:r>
      <w:r>
        <w:rPr>
          <w:rFonts w:ascii="" w:hAnsi="" w:cs="" w:eastAsia=""/>
          <w:b w:val="false"/>
          <w:i w:val="true"/>
          <w:strike w:val="false"/>
          <w:color w:val="000000"/>
          <w:sz w:val="20"/>
          <w:u w:val="none"/>
        </w:rPr>
        <w:t xml:space="preserve">第39回日本高次脳機能障害学会学術総会,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回復期リハビリテーション病棟における高次脳機能障害患者の帰結予測,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老施協総研 平成27年度調査研究助成報告書,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322-327,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30-34,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27,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455-460,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438-444,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152-161,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95-99,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89-93,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31-43,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1184-1186,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249, </w:t>
      </w:r>
      <w:r>
        <w:rPr>
          <w:rFonts w:ascii="" w:hAnsi="" w:cs="" w:eastAsia=""/>
          <w:b w:val="false"/>
          <w:i w:val="false"/>
          <w:strike w:val="false"/>
          <w:color w:val="000000"/>
          <w:sz w:val="20"/>
          <w:u w:val="none"/>
        </w:rPr>
        <w:t>23,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 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70-76,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84-88,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33-47,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234-239,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258-267,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75, </w:t>
      </w:r>
      <w:r>
        <w:rPr>
          <w:rFonts w:ascii="" w:hAnsi="" w:cs="" w:eastAsia=""/>
          <w:b w:val="false"/>
          <w:i w:val="false"/>
          <w:strike w:val="false"/>
          <w:color w:val="000000"/>
          <w:sz w:val="20"/>
          <w:u w:val="none"/>
        </w:rPr>
        <w:t>6-15,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54, </w:t>
      </w:r>
      <w:r>
        <w:rPr>
          <w:rFonts w:ascii="" w:hAnsi="" w:cs="" w:eastAsia=""/>
          <w:b w:val="false"/>
          <w:i w:val="false"/>
          <w:strike w:val="false"/>
          <w:color w:val="000000"/>
          <w:sz w:val="20"/>
          <w:u w:val="none"/>
        </w:rPr>
        <w:t>710-716,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1527-1532,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264, </w:t>
      </w:r>
      <w:r>
        <w:rPr>
          <w:rFonts w:ascii="" w:hAnsi="" w:cs="" w:eastAsia=""/>
          <w:b w:val="false"/>
          <w:i w:val="false"/>
          <w:strike w:val="false"/>
          <w:color w:val="000000"/>
          <w:sz w:val="20"/>
          <w:u w:val="none"/>
        </w:rPr>
        <w:t>28, 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388-405,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100, </w:t>
      </w:r>
      <w:r>
        <w:rPr>
          <w:rFonts w:ascii="" w:hAnsi="" w:cs="" w:eastAsia=""/>
          <w:b w:val="false"/>
          <w:i w:val="false"/>
          <w:strike w:val="false"/>
          <w:color w:val="000000"/>
          <w:sz w:val="20"/>
          <w:u w:val="none"/>
        </w:rPr>
        <w:t>11-13,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26-27,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松村 佑季</w:t>
      </w:r>
      <w:r>
        <w:rPr>
          <w:rFonts w:ascii="" w:hAnsi="" w:cs="" w:eastAsia=""/>
          <w:b w:val="true"/>
          <w:i w:val="false"/>
          <w:strike w:val="false"/>
          <w:color w:val="000000"/>
          <w:sz w:val="20"/>
          <w:u w:val="none"/>
        </w:rPr>
        <w:t xml:space="preserve">,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徳島県那賀町における口腔ケア実施の実態調査と支援職員への口腔ケア研修会の取り組み, </w:t>
      </w:r>
      <w:r>
        <w:rPr>
          <w:rFonts w:ascii="" w:hAnsi="" w:cs="" w:eastAsia=""/>
          <w:b w:val="false"/>
          <w:i w:val="true"/>
          <w:strike w:val="false"/>
          <w:color w:val="000000"/>
          <w:sz w:val="20"/>
          <w:u w:val="none"/>
        </w:rPr>
        <w:t xml:space="preserve">第67回日本口腔衛生学会,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68, </w:t>
      </w:r>
      <w:r>
        <w:rPr>
          <w:rFonts w:ascii="" w:hAnsi="" w:cs="" w:eastAsia=""/>
          <w:b w:val="false"/>
          <w:i w:val="false"/>
          <w:strike w:val="false"/>
          <w:color w:val="000000"/>
          <w:sz w:val="20"/>
          <w:u w:val="none"/>
        </w:rPr>
        <w:t>165,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false"/>
          <w:strike w:val="false"/>
          <w:color w:val="000000"/>
          <w:sz w:val="20"/>
          <w:u w:val="none"/>
        </w:rPr>
        <w:t>135, 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156-163,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100-117,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69-75,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905-909,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52-56,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37-41,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2020, </w:t>
      </w:r>
      <w:r>
        <w:rPr>
          <w:rFonts w:ascii="" w:hAnsi="" w:cs="" w:eastAsia=""/>
          <w:b w:val="false"/>
          <w:i w:val="false"/>
          <w:strike w:val="false"/>
          <w:color w:val="000000"/>
          <w:sz w:val="20"/>
          <w:u w:val="none"/>
        </w:rPr>
        <w:t>4042129, 2020.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73-77,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140-147,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24-27,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280-285,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215-222,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9502,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1116-1127,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172-177,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206,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23, 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207,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265, </w:t>
      </w:r>
      <w:r>
        <w:rPr>
          <w:rFonts w:ascii="" w:hAnsi="" w:cs="" w:eastAsia=""/>
          <w:b w:val="false"/>
          <w:i w:val="false"/>
          <w:strike w:val="false"/>
          <w:color w:val="000000"/>
          <w:sz w:val="20"/>
          <w:u w:val="none"/>
        </w:rPr>
        <w:t>20-25,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141-143, 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208,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209,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392-393,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618-620,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false"/>
          <w:strike w:val="false"/>
          <w:color w:val="000000"/>
          <w:sz w:val="20"/>
          <w:u w:val="none"/>
        </w:rPr>
        <w:t>883-893,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111-118,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173-177,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34-45,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816-818,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1040-1042,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1250-1252,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174-176,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27-32,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13-20,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205-212,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433-441,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3,4, </w:t>
      </w:r>
      <w:r>
        <w:rPr>
          <w:rFonts w:ascii="" w:hAnsi="" w:cs="" w:eastAsia=""/>
          <w:b w:val="false"/>
          <w:i w:val="false"/>
          <w:strike w:val="false"/>
          <w:color w:val="000000"/>
          <w:sz w:val="20"/>
          <w:u w:val="none"/>
        </w:rPr>
        <w:t>173-180,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70, </w:t>
      </w:r>
      <w:r>
        <w:rPr>
          <w:rFonts w:ascii="" w:hAnsi="" w:cs="" w:eastAsia=""/>
          <w:b w:val="false"/>
          <w:i w:val="true"/>
          <w:strike w:val="false"/>
          <w:color w:val="000000"/>
          <w:sz w:val="20"/>
          <w:u w:val="none"/>
        </w:rPr>
        <w:t xml:space="preserve">15, </w:t>
      </w:r>
      <w:r>
        <w:rPr>
          <w:rFonts w:ascii="" w:hAnsi="" w:cs="" w:eastAsia=""/>
          <w:b w:val="false"/>
          <w:i w:val="false"/>
          <w:strike w:val="false"/>
          <w:color w:val="000000"/>
          <w:sz w:val="20"/>
          <w:u w:val="none"/>
        </w:rPr>
        <w:t>9-14,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52-58,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3410, 2024.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1496-1499, 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第5版, 2025年3月.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Yutaka Kusumoto, Mizuki Ueda, Taiki Moriya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Michio Tomura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e167373,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Clarifying the actual situation of old-old adults with unknown health conditions and those indifferent to health using the National Health Insurance Database (KDB) system,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156, 2024.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Shino 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Misaki Ichinomiya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Sumitomo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Kawabata Shigetada : </w:t>
      </w:r>
      <w:r>
        <w:rPr>
          <w:rFonts w:ascii="" w:hAnsi="" w:cs="" w:eastAsia=""/>
          <w:b w:val="false"/>
          <w:i w:val="false"/>
          <w:strike w:val="false"/>
          <w:color w:val="000000"/>
          <w:sz w:val="20"/>
          <w:u w:val="none"/>
        </w:rPr>
        <w:t xml:space="preserve">D-psicose, a rare sugar down-regulate development of Candida albicans hyphae, </w:t>
      </w:r>
      <w:r>
        <w:rPr>
          <w:rFonts w:ascii="" w:hAnsi="" w:cs="" w:eastAsia=""/>
          <w:b w:val="false"/>
          <w:i w:val="true"/>
          <w:strike w:val="false"/>
          <w:color w:val="000000"/>
          <w:sz w:val="20"/>
          <w:u w:val="none"/>
        </w:rPr>
        <w:t xml:space="preserve">IUMS2024, </w:t>
      </w:r>
      <w:r>
        <w:rPr>
          <w:rFonts w:ascii="" w:hAnsi="" w:cs="" w:eastAsia=""/>
          <w:b w:val="false"/>
          <w:i w:val="false"/>
          <w:strike w:val="false"/>
          <w:color w:val="000000"/>
          <w:sz w:val="20"/>
          <w:u w:val="none"/>
        </w:rPr>
        <w:t>Oct. 2024.</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口腔の健康とストレスとの関連に関する予備的研究,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山路 梨紗, 小松 崎凜, 藤田 真里杏, 松本 望愛, 吉田 沙紀, </w:t>
      </w: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三木 かなめ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サークル・バイブレーション法による歯垢除去効果の検証のための予備実験, </w:t>
      </w:r>
      <w:r>
        <w:rPr>
          <w:rFonts w:ascii="" w:hAnsi="" w:cs="" w:eastAsia=""/>
          <w:b w:val="false"/>
          <w:i w:val="true"/>
          <w:strike w:val="false"/>
          <w:color w:val="000000"/>
          <w:sz w:val="20"/>
          <w:u w:val="none"/>
        </w:rPr>
        <w:t xml:space="preserve">第35回 近畿・中国・四国口腔衛生学会, </w:t>
      </w:r>
      <w:r>
        <w:rPr>
          <w:rFonts w:ascii="" w:hAnsi="" w:cs="" w:eastAsia=""/>
          <w:b w:val="false"/>
          <w:i w:val="false"/>
          <w:strike w:val="false"/>
          <w:color w:val="000000"/>
          <w:sz w:val="20"/>
          <w:u w:val="none"/>
        </w:rPr>
        <w:t>2024年9月.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須磨 紫乃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勝浦-釜野 桜子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渡邊 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石津 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大豆食品摂取量が全死因死亡・死因別死亡に与える影響:J-MICC Study, </w:t>
      </w:r>
      <w:r>
        <w:rPr>
          <w:rFonts w:ascii="" w:hAnsi="" w:cs="" w:eastAsia=""/>
          <w:b w:val="false"/>
          <w:i w:val="true"/>
          <w:strike w:val="false"/>
          <w:color w:val="000000"/>
          <w:sz w:val="20"/>
          <w:u w:val="none"/>
        </w:rPr>
        <w:t xml:space="preserve">第35回日本疫学会学術総会, </w:t>
      </w:r>
      <w:r>
        <w:rPr>
          <w:rFonts w:ascii="" w:hAnsi="" w:cs="" w:eastAsia=""/>
          <w:b w:val="false"/>
          <w:i w:val="false"/>
          <w:strike w:val="false"/>
          <w:color w:val="000000"/>
          <w:sz w:val="20"/>
          <w:u w:val="none"/>
        </w:rPr>
        <w:t>2025年2月.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