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Noriaki Aoki,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Ernesto A. Pretto, Katsuhiko Sugimoto, J Robert Beck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Tsuguya Fukui : </w:t>
      </w:r>
      <w:r>
        <w:rPr>
          <w:rFonts w:ascii="" w:hAnsi="" w:cs="" w:eastAsia=""/>
          <w:b w:val="false"/>
          <w:i w:val="false"/>
          <w:strike w:val="false"/>
          <w:color w:val="000000"/>
          <w:sz w:val="20"/>
          <w:u w:val="none"/>
        </w:rPr>
        <w:t xml:space="preserve">Survival and cost analysis of fatalities of the Kobe earthquake in Japan., </w:t>
      </w:r>
      <w:r>
        <w:rPr>
          <w:rFonts w:ascii="" w:hAnsi="" w:cs="" w:eastAsia=""/>
          <w:b w:val="false"/>
          <w:i w:val="true"/>
          <w:strike w:val="false"/>
          <w:color w:val="000000"/>
          <w:sz w:val="20"/>
          <w:u w:val="single"/>
        </w:rPr>
        <w:t>Prehospital Emergency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Abe,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Hideyuki Nushida, Yasuhiro Ueno, Maki Kojima, Hideaki Kitamura,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Economic slump and suicide method: preliminary study in Kobe.,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Kohei Akazawa, Ryo Abe, Hideyuki Nushida, Yasuhiro Ueno, Maki Kojika-Maruyama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Incidence of note-leaving remains constant despite increasing suicide rates.,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Kuwabara,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Ryo Abe, Hideyuki Nushida, Yasuhiro Ueno,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Differences in characteristics between suicide victims who left notes or not.,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145-149,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