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フォリスタチンとフォリスタチン様蛋白質(FLRG)による骨格筋量·体脂肪量調節機構と蛋白質創薬, 日本生化学会中国·四国支部会学術奨励賞, </w:t>
      </w:r>
      <w:r>
        <w:rPr>
          <w:rFonts w:ascii="" w:hAnsi="" w:cs="" w:eastAsia=""/>
          <w:b w:val="false"/>
          <w:i w:val="false"/>
          <w:strike w:val="false"/>
          <w:color w:val="000000"/>
          <w:sz w:val="20"/>
          <w:u w:val="single"/>
        </w:rPr>
        <w:t>日本生化学会</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Embryonal Carcinoma Cell-Associated Molecule, Nucling, That Is Up-regulated during Cardiac Muscle Differentiation, JB論文賞, </w:t>
      </w:r>
      <w:r>
        <w:rPr>
          <w:rFonts w:ascii="" w:hAnsi="" w:cs="" w:eastAsia=""/>
          <w:b w:val="false"/>
          <w:i w:val="false"/>
          <w:strike w:val="false"/>
          <w:color w:val="000000"/>
          <w:sz w:val="20"/>
          <w:u w:val="single"/>
        </w:rPr>
        <w:t>日本生化学会</w:t>
      </w:r>
      <w:r>
        <w:rPr>
          <w:rFonts w:ascii="" w:hAnsi="" w:cs="" w:eastAsia=""/>
          <w:b w:val="false"/>
          <w:i w:val="false"/>
          <w:strike w:val="false"/>
          <w:color w:val="000000"/>
          <w:sz w:val="20"/>
          <w:u w:val="none"/>
        </w:rPr>
        <w:t>, 2004年10月.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新規アポトーシス制御分子Nuclingを介したアポトーシス経路の解明とその病態生理学的意義に関する研究, 財団法人康楽會賞,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2006年1月.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D-アミノ酸代謝酵素システムの機能と構造に関する疾患酵素学的研究, 学会賞, </w:t>
      </w:r>
      <w:r>
        <w:rPr>
          <w:rFonts w:ascii="" w:hAnsi="" w:cs="" w:eastAsia=""/>
          <w:b w:val="false"/>
          <w:i w:val="false"/>
          <w:strike w:val="false"/>
          <w:color w:val="000000"/>
          <w:sz w:val="20"/>
          <w:u w:val="single"/>
        </w:rPr>
        <w:t>日本ビタミン学会</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自己免疫疾患の病態解明, 日本医師会医学研究助成, 日本医師会,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学術奨励賞, 日本社会医療学会, 2008年10月.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学術奨励賞, 日本肺サーファクタント・界面医学会, </w:t>
      </w:r>
      <w:r>
        <w:rPr>
          <w:rFonts w:ascii="" w:hAnsi="" w:cs="" w:eastAsia=""/>
          <w:b w:val="false"/>
          <w:i w:val="false"/>
          <w:strike w:val="false"/>
          <w:color w:val="000000"/>
          <w:sz w:val="20"/>
          <w:u w:val="single"/>
        </w:rPr>
        <w:t>日本界面医学会</w:t>
      </w:r>
      <w:r>
        <w:rPr>
          <w:rFonts w:ascii="" w:hAnsi="" w:cs="" w:eastAsia=""/>
          <w:b w:val="false"/>
          <w:i w:val="false"/>
          <w:strike w:val="false"/>
          <w:color w:val="000000"/>
          <w:sz w:val="20"/>
          <w:u w:val="none"/>
        </w:rPr>
        <w:t>, 2010年10月.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結晶構造解析によるレトロトランスポゾン転移反応機構の解明, 徳島大学若手研究者学長表彰, </w:t>
      </w:r>
      <w:r>
        <w:rPr>
          <w:rFonts w:ascii="" w:hAnsi="" w:cs="" w:eastAsia=""/>
          <w:b w:val="false"/>
          <w:i w:val="false"/>
          <w:strike w:val="false"/>
          <w:color w:val="000000"/>
          <w:sz w:val="20"/>
          <w:u w:val="single"/>
        </w:rPr>
        <w:t>事務局</w:t>
      </w:r>
      <w:r>
        <w:rPr>
          <w:rFonts w:ascii="" w:hAnsi="" w:cs="" w:eastAsia=""/>
          <w:b w:val="false"/>
          <w:i w:val="false"/>
          <w:strike w:val="false"/>
          <w:color w:val="000000"/>
          <w:sz w:val="20"/>
          <w:u w:val="none"/>
        </w:rPr>
        <w:t>, 2011年11月.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Mouse prion protein (PrP) segment 100 to 104 regulates conversion of PrPC to PrPSc in prion-infected neuroblastoma cells, Best Poster Prize, Asian Pacific Prion Symposium 2012,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Mouse prion protein (PrP) segment 100 to 104 regulates conversion of PrPC to PrPSc in prion-infected neuroblastoma cells, ZENSHO Prize, Asian Pacific Prion Symposium 2012,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臍帯血のアレルゲン特異抗体の高感度検出と各種抗体母子移行の評価, 鈴木紘一メモリアル賞を受賞, 公益社団法人 日本生化学会, 2012年9月.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Prions impair post-Golgi trafficking of membrane proteins, best presentation prize, Asian Pacific Prion Symposium 2013,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プリオン病における神経細胞死誘導機構の解明と治療への応用,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安全性と有効性の高い肺サーファクタント類似SF-10アジュバントを用いた経鼻接種ワクチンの医療応用, 平成26年度バイオビジネスアワードJAPAN, バイオビジネスアワードJAPAN, 2014年2月.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自然免疫応答の制御における細胞内分解系の役割, 文部科学大臣表彰若手科学者賞,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Mechanism of Sortilin-Mediated PrP degradation, Asia Pacific Prion Symposium 2015, The Best Poster Award, Asia Pacific Society of Prion Research (APSPR), Sep. 2015.</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