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Masui,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Sublingual Artery.,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殿谷 遥, 服部 元史 : </w:t>
      </w:r>
      <w:r>
        <w:rPr>
          <w:rFonts w:ascii="" w:hAnsi="" w:cs="" w:eastAsia=""/>
          <w:b w:val="false"/>
          <w:i w:val="false"/>
          <w:strike w:val="false"/>
          <w:color w:val="000000"/>
          <w:sz w:val="20"/>
          <w:u w:val="none"/>
        </w:rPr>
        <w:t xml:space="preserve">嚥下に関する筋骨格系のフォトリアルな3DCGの作成,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ヒト舌動脈の走行経路に関する肉眼解剖学的研究,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1532-1545,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195-203, 2017.</w:t>
      </w:r>
    </w:p>
    <w:p>
      <w:pPr>
        <w:numPr>
          <w:numId w:val="17"/>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1191-1201,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72-84,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R619-R633,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1127-1129,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1240-1242,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3258,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T. Morita,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Correction: Glycogen synthase 1 targeting reveals a metabolic vulnerability in triple-negative breast cancer (Journal of Experimental &amp;amp; Clinical Cancer Research, (2023), 42, 1, (143), 10.1186/s13046-023-02715-z),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Roa N. Jinae,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Tresguerres Martin : </w:t>
      </w:r>
      <w:r>
        <w:rPr>
          <w:rFonts w:ascii="" w:hAnsi="" w:cs="" w:eastAsia=""/>
          <w:b w:val="false"/>
          <w:i w:val="false"/>
          <w:strike w:val="false"/>
          <w:color w:val="000000"/>
          <w:sz w:val="20"/>
          <w:u w:val="none"/>
        </w:rPr>
        <w:t xml:space="preserve">Coordination between glycogen metabolism and pH regulation in stingray gill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765, </w:t>
      </w:r>
      <w:r>
        <w:rPr>
          <w:rFonts w:ascii="" w:hAnsi="" w:cs="" w:eastAsia=""/>
          <w:b w:val="false"/>
          <w:i w:val="false"/>
          <w:strike w:val="false"/>
          <w:color w:val="000000"/>
          <w:sz w:val="20"/>
          <w:u w:val="none"/>
        </w:rPr>
        <w:t>151851, 2025.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