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47-58,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197-218,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55-63,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53-61,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18778 (2021),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