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象牙質知覚過敏の発現に及ぼす 歯肉退縮および生活習慣因子の影響,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克行, 目黒 道夫, 竹内 いずみ, 中山 良子, 加藤 真由美,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澤田 弘一, 足立 誠司, 山下 裕 : </w:t>
      </w:r>
      <w:r>
        <w:rPr>
          <w:rFonts w:ascii="" w:hAnsi="" w:cs="" w:eastAsia=""/>
          <w:b w:val="false"/>
          <w:i w:val="false"/>
          <w:strike w:val="false"/>
          <w:color w:val="000000"/>
          <w:sz w:val="20"/>
          <w:u w:val="none"/>
        </w:rPr>
        <w:t xml:space="preserve">ADL，認知機能の低下及び低栄養を併発した老年症候群患者は摂食嚥下機能が低下する, </w:t>
      </w:r>
      <w:r>
        <w:rPr>
          <w:rFonts w:ascii="" w:hAnsi="" w:cs="" w:eastAsia=""/>
          <w:b w:val="false"/>
          <w:i w:val="true"/>
          <w:strike w:val="false"/>
          <w:color w:val="000000"/>
          <w:sz w:val="20"/>
          <w:u w:val="none"/>
        </w:rPr>
        <w:t xml:space="preserve">全国自治体病院協議会雑誌,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943-948,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Kazuhiro Omori, Yoshihisa Hanayama,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Kentaro Akiyama, Hiroshi Maeda, Fumio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Takashiba : </w:t>
      </w:r>
      <w:r>
        <w:rPr>
          <w:rFonts w:ascii="" w:hAnsi="" w:cs="" w:eastAsia=""/>
          <w:b w:val="false"/>
          <w:i w:val="false"/>
          <w:strike w:val="false"/>
          <w:color w:val="000000"/>
          <w:sz w:val="20"/>
          <w:u w:val="none"/>
        </w:rPr>
        <w:t xml:space="preserve">Gingival overgrowth caused by vitamin C deficiency associated with metabolic syndrome and severe periodontal infection: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286-295,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内藤 仁美, 工藤 値英子, 目黒 道生,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伊東 孝, 前田 博史, 高柴 正悟 : </w:t>
      </w:r>
      <w:r>
        <w:rPr>
          <w:rFonts w:ascii="" w:hAnsi="" w:cs="" w:eastAsia=""/>
          <w:b w:val="false"/>
          <w:i w:val="false"/>
          <w:strike w:val="false"/>
          <w:color w:val="000000"/>
          <w:sz w:val="20"/>
          <w:u w:val="none"/>
        </w:rPr>
        <w:t xml:space="preserve">ある侵襲性歯周炎患者の26年間における歯周病治療の経過 -血清IgG抗体価による歯周病原細菌感染度もモニタリング-,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夜間ブラキシズムによる咬合性外傷によって進行した慢性歯周炎症例,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Sep., </w:t>
      </w:r>
      <w:r>
        <w:rPr>
          <w:rFonts w:ascii="" w:hAnsi="" w:cs="" w:eastAsia=""/>
          <w:b w:val="false"/>
          <w:i w:val="false"/>
          <w:strike w:val="false"/>
          <w:color w:val="000000"/>
          <w:sz w:val="20"/>
          <w:u w:val="none"/>
        </w:rPr>
        <w:t>145,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e149,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6393-6400,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328-336,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E269,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2020年4月.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3345, 2022.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