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Chikara Kaito, Yuki Saito,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Yosuke Omae, Han Mao, Gentaro Nagano, Tomoko Fujiyuki, Shunsuke Numata, Xiao Han, Kazuaki Obata, Setsuo Hasegawa, Hiroki Yamaguchi, Koiti Inokuchi, Teruyo Ito, Keiichi Hiramatsu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Sekimizu : </w:t>
      </w:r>
      <w:r>
        <w:rPr>
          <w:rFonts w:ascii="" w:hAnsi="" w:cs="" w:eastAsia=""/>
          <w:b w:val="false"/>
          <w:i w:val="false"/>
          <w:strike w:val="false"/>
          <w:color w:val="000000"/>
          <w:sz w:val="20"/>
          <w:u w:val="none"/>
        </w:rPr>
        <w:t xml:space="preserve">Mobile genetic element SCCmec-encoded psm-mec RNA suppresses translation of agrA and attenuates MRSA virulence.,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e1003269,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Alessandra Ferrajoli, Tait D. Shanafelt, Cristina Ivan, Masayoshi Shimizu, Kari G. Rabe, Nazila Nouraee,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Asish K. Ghosh, Susan Lerner, Laura Z. Rassenti, Lianchun Xiao, Jianhua Hu, James M. Reuben, Steliana Calin, M James You, John T. Manning, William G. Wierda, Zeev Estrov, Susan O'Brien, Thomas J. Kipps, Michael J. Keating, Neil E. 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Calin : </w:t>
      </w:r>
      <w:r>
        <w:rPr>
          <w:rFonts w:ascii="" w:hAnsi="" w:cs="" w:eastAsia=""/>
          <w:b w:val="false"/>
          <w:i w:val="false"/>
          <w:strike w:val="false"/>
          <w:color w:val="000000"/>
          <w:sz w:val="20"/>
          <w:u w:val="none"/>
        </w:rPr>
        <w:t xml:space="preserve">Prognostic value of miR-155 in individuals with monoclonal B-cell lymphocytosis and patients with B chronic lymphocytic leukemia.,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1891-1899,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Gentaro Nagano, Yuki Saito, Han Mao, Kazuhisa Sekimizu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Chikara Kaito : </w:t>
      </w:r>
      <w:r>
        <w:rPr>
          <w:rFonts w:ascii="" w:hAnsi="" w:cs="" w:eastAsia=""/>
          <w:b w:val="false"/>
          <w:i w:val="false"/>
          <w:strike w:val="false"/>
          <w:color w:val="000000"/>
          <w:sz w:val="20"/>
          <w:u w:val="none"/>
        </w:rPr>
        <w:t xml:space="preserve">Inhibition of Exotoxin Production by Mobile Genetic Element SCCmec-Encoded psm-mec RNA Is Conserved in Staphylococcal Species,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e100260,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Azuma Takumi, Murata Akihiro, Kobayashi Yusuke,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A Dual Arylboronic Acid-Aminothiourea Catalytic System for the Asymmetric Intramolecular Hetero-Michael Reaction of a,b-Unsaturated Carboxylic Acids,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4256-4259,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Nobuya, Stadler Michael, Kazumi Naoya,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Yoshiji : </w:t>
      </w:r>
      <w:r>
        <w:rPr>
          <w:rFonts w:ascii="" w:hAnsi="" w:cs="" w:eastAsia=""/>
          <w:b w:val="false"/>
          <w:i w:val="false"/>
          <w:strike w:val="false"/>
          <w:color w:val="000000"/>
          <w:sz w:val="20"/>
          <w:u w:val="none"/>
        </w:rPr>
        <w:t xml:space="preserve">Catalytic asymmetric synthesis of the pentacyclic core of (-)-nakadomarin A via oxazolidine as an iminium cation equivalent,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7919-7922,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Fuller P Roberta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III F Barbas Carlos : </w:t>
      </w:r>
      <w:r>
        <w:rPr>
          <w:rFonts w:ascii="" w:hAnsi="" w:cs="" w:eastAsia=""/>
          <w:b w:val="false"/>
          <w:i w:val="false"/>
          <w:strike w:val="false"/>
          <w:color w:val="000000"/>
          <w:sz w:val="20"/>
          <w:u w:val="none"/>
        </w:rPr>
        <w:t xml:space="preserve">N-Sulfonyl-β-lactam hapten as an effective labeling reagent for aldolase mAb,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1684-1687,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Hui Ling, Karen Pickard, Cristina Ivan, Claudio Isella,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Richard Mitter, Riccardo Spizzo, Marc Bullock, Cornelia Braicu, Valentina Pileczki, Kimberly Vincent, Martin Pichler, Verena Stiegelbauer, Gerald Hoefler, Maria I. Almeida, Annie Hsiao, Xinna Zhang, John Primrose, Graham Packham, Kevin Liu, Krishna Bojja, Roberta Gafà, Lianchun Xiao, Simona Rossi, Jian H. Song, Ivan Vannini, Francesca Fanini, Scott Kopetz, Patrick Zweidler-McKay, Xuemei Wang, Calin Ionescu, Alexandru Irimie, Muller Fabbri, Giovanni Lanza, Stanley R. Hamilton, Ioana Berindan-Neagoe, Enzo Medico, Alex Mirnezami, George A. Calin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Milena S. Nicoloso : </w:t>
      </w:r>
      <w:r>
        <w:rPr>
          <w:rFonts w:ascii="" w:hAnsi="" w:cs="" w:eastAsia=""/>
          <w:b w:val="false"/>
          <w:i w:val="false"/>
          <w:strike w:val="false"/>
          <w:color w:val="000000"/>
          <w:sz w:val="20"/>
          <w:u w:val="none"/>
        </w:rPr>
        <w:t xml:space="preserve">The clinical and biological significance of MIR-224 expression in colorectal cancer metastasis.,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977-989, 2015.</w:t>
      </w:r>
    </w:p>
    <w:p>
      <w:pPr>
        <w:numPr>
          <w:numId w:val="6"/>
        </w:numPr>
        <w:autoSpaceDE w:val="off"/>
        <w:autoSpaceDN w:val="off"/>
        <w:spacing w:line="-240" w:lineRule="auto"/>
        <w:ind w:left="30"/>
      </w:pPr>
      <w:r>
        <w:rPr>
          <w:rFonts w:ascii="" w:hAnsi="" w:cs="" w:eastAsia=""/>
          <w:b w:val="true"/>
          <w:i w:val="false"/>
          <w:strike w:val="false"/>
          <w:color w:val="000000"/>
          <w:sz w:val="20"/>
          <w:u w:val="none"/>
        </w:rPr>
        <w:t>Ling Hui, Calin George, Nicoloso Milena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clinical significance of miR-224 in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 xml:space="preserve">1483,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