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49-53,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Seiji Sonobe, T. I. Baskin, S. Hyodo, Seiichiro Hasezawa, T. Nagata, </w:t>
      </w: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Hasebe : </w:t>
      </w:r>
      <w:r>
        <w:rPr>
          <w:rFonts w:ascii="" w:hAnsi="" w:cs="" w:eastAsia=""/>
          <w:b w:val="false"/>
          <w:i w:val="false"/>
          <w:strike w:val="false"/>
          <w:color w:val="000000"/>
          <w:sz w:val="20"/>
          <w:u w:val="none"/>
        </w:rPr>
        <w:t xml:space="preserve">Microtubule-dependent microtubule nucleation based on recruitment of γ-tubulin in higher plants.,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961-968,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Toda : </w:t>
      </w:r>
      <w:r>
        <w:rPr>
          <w:rFonts w:ascii="" w:hAnsi="" w:cs="" w:eastAsia=""/>
          <w:b w:val="false"/>
          <w:i w:val="false"/>
          <w:strike w:val="false"/>
          <w:color w:val="000000"/>
          <w:sz w:val="20"/>
          <w:u w:val="none"/>
        </w:rPr>
        <w:t xml:space="preserve">Organizing cytoplasmic microtubules: no nucleus, no problem.,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1041-1043,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microtubules in tip growth of fungi.,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Sayuri Yokoi, Mari Setoyama,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Sayaka Takeda,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639,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Sawako Tatsumi, Ichiro Kaneko,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Inorganic phosphate homeostasis: Crosstalk between kidney and other organs,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408-416,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Yuki Arima,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