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Yuko, Yokoi sayuri, Setoyama Mari,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Takeda Sayaka,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none"/>
        </w:rPr>
        <w:t>Taipei,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Vol.639,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induce autophagic degradation in macrophages, </w:t>
      </w:r>
      <w:r>
        <w:rPr>
          <w:rFonts w:ascii="" w:hAnsi="" w:cs="" w:eastAsia=""/>
          <w:b w:val="false"/>
          <w:i w:val="true"/>
          <w:strike w:val="false"/>
          <w:color w:val="000000"/>
          <w:sz w:val="20"/>
          <w:u w:val="none"/>
        </w:rPr>
        <w:t xml:space="preserve">7th International conference on Polyphenol and Health (ICPH),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distinct pathways for anti-inflammatory activity of quercetin conjugates,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3.炭水化物とその変化 4.脂質とその変化,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Ishisaka Akari, Ikushiro Shinichi, Takeuchi Mie, Araki1 Yukako, Juri Maki, Yoshiki Yui,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Niwa Toshio, Kitamoto Noritoshi, Sakaki Toshiyuki, Ishikawa Hirohito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Yoji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eaal2332,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Nuka Erika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No.6-12, </w:t>
      </w:r>
      <w:r>
        <w:rPr>
          <w:rFonts w:ascii="" w:hAnsi="" w:cs="" w:eastAsia=""/>
          <w:b w:val="false"/>
          <w:i w:val="false"/>
          <w:strike w:val="false"/>
          <w:color w:val="000000"/>
          <w:sz w:val="20"/>
          <w:u w:val="none"/>
        </w:rPr>
        <w:t>430-443,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21"/>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