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13"/>
        </w:numPr>
        <w:autoSpaceDE w:val="off"/>
        <w:autoSpaceDN w:val="off"/>
        <w:spacing w:line="-240" w:lineRule="auto"/>
        <w:ind w:left="30"/>
      </w:pPr>
      <w:r>
        <w:rPr>
          <w:rFonts w:ascii="" w:hAnsi="" w:cs="" w:eastAsia=""/>
          <w:b w:val="true"/>
          <w:i w:val="false"/>
          <w:strike w:val="false"/>
          <w:color w:val="000000"/>
          <w:sz w:val="20"/>
          <w:u w:val="single"/>
        </w:rPr>
        <w:t>Rie Tsutsumi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(Apr. 2012), 2012004.</w:t>
      </w:r>
    </w:p>
    <w:p>
      <w:pPr>
        <w:numPr>
          <w:numId w:val="13"/>
        </w:numPr>
        <w:autoSpaceDE w:val="off"/>
        <w:autoSpaceDN w:val="off"/>
        <w:spacing w:line="-240" w:lineRule="auto"/>
        <w:ind w:left="30"/>
      </w:pP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スダチチンを有効成分とするメタボリック症候群予防及び改善効果,  (2012年4月), 特許第2012005号.</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