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w:t>
      </w:r>
      <w:r>
        <w:rPr>
          <w:rFonts w:ascii="" w:hAnsi="" w:cs="" w:eastAsia=""/>
          <w:b w:val="false"/>
          <w:i w:val="true"/>
          <w:strike w:val="false"/>
          <w:color w:val="000000"/>
          <w:sz w:val="20"/>
          <w:u w:val="none"/>
        </w:rPr>
        <w:t>Saccharomyces cerevisiae</w:t>
      </w:r>
      <w:r>
        <w:rPr>
          <w:rFonts w:ascii="" w:hAnsi="" w:cs="" w:eastAsia=""/>
          <w:b w:val="false"/>
          <w:i w:val="false"/>
          <w:strike w:val="false"/>
          <w:color w:val="000000"/>
          <w:sz w:val="20"/>
          <w:u w:val="none"/>
        </w:rPr>
        <w:t xml:space="preserv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1141-1154,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