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業務フロー改善と組織を見直しDr.OrientedSystemからPatient-OrientedSystemを実現, </w:t>
      </w:r>
      <w:r>
        <w:rPr>
          <w:rFonts w:ascii="" w:hAnsi="" w:cs="" w:eastAsia=""/>
          <w:b w:val="false"/>
          <w:i w:val="true"/>
          <w:strike w:val="false"/>
          <w:color w:val="000000"/>
          <w:sz w:val="20"/>
          <w:u w:val="none"/>
        </w:rPr>
        <w:t xml:space="preserve">月刊 新医療2008年5月号,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 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電子カルテの入力は簡単になったか 入力方法の多様化と残された問題, </w:t>
      </w:r>
      <w:r>
        <w:rPr>
          <w:rFonts w:ascii="" w:hAnsi="" w:cs="" w:eastAsia=""/>
          <w:b w:val="false"/>
          <w:i w:val="true"/>
          <w:strike w:val="false"/>
          <w:color w:val="000000"/>
          <w:sz w:val="20"/>
          <w:u w:val="none"/>
        </w:rPr>
        <w:t xml:space="preserve">月刊新医療2008年7月号, </w:t>
      </w:r>
      <w:r>
        <w:rPr>
          <w:rFonts w:ascii="" w:hAnsi="" w:cs="" w:eastAsia=""/>
          <w:b w:val="false"/>
          <w:i w:val="false"/>
          <w:strike w:val="false"/>
          <w:color w:val="000000"/>
          <w:sz w:val="20"/>
          <w:u w:val="none"/>
        </w:rPr>
        <w:t>62-65,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PACS導入の一視点--更新の方法と考え方 (PACS導入による具体的変化を見る(Part 1)), </w:t>
      </w:r>
      <w:r>
        <w:rPr>
          <w:rFonts w:ascii="" w:hAnsi="" w:cs="" w:eastAsia=""/>
          <w:b w:val="false"/>
          <w:i w:val="true"/>
          <w:strike w:val="false"/>
          <w:color w:val="000000"/>
          <w:sz w:val="20"/>
          <w:u w:val="none"/>
        </w:rPr>
        <w:t xml:space="preserve">月刊新医療 2009年2月号,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138-141,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267,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285,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209-211,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388-391,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432-433,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分析を意識したパスの作成, </w:t>
      </w:r>
      <w:r>
        <w:rPr>
          <w:rFonts w:ascii="" w:hAnsi="" w:cs="" w:eastAsia=""/>
          <w:b w:val="false"/>
          <w:i w:val="true"/>
          <w:strike w:val="false"/>
          <w:color w:val="000000"/>
          <w:sz w:val="20"/>
          <w:u w:val="none"/>
        </w:rPr>
        <w:t xml:space="preserve">2011年日本クリニカルパス学会・医学書院クリニカルパス教育セミナー,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愛知クリニカルパス研究会セミナー,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電子カルテにおける研修医のカウンターサインの監査, </w:t>
      </w:r>
      <w:r>
        <w:rPr>
          <w:rFonts w:ascii="" w:hAnsi="" w:cs="" w:eastAsia=""/>
          <w:b w:val="false"/>
          <w:i w:val="true"/>
          <w:strike w:val="false"/>
          <w:color w:val="000000"/>
          <w:sz w:val="20"/>
          <w:u w:val="none"/>
        </w:rPr>
        <w:t xml:space="preserve">第34回日本POS医療学会大会,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518-519,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638-641,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854-855,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川眞田 実, 池田 龍二, 舟橋 毅, 杉原 弘恭, 松山 征嗣, 田中 大介, 木村 映善 : </w:t>
      </w:r>
      <w:r>
        <w:rPr>
          <w:rFonts w:ascii="" w:hAnsi="" w:cs="" w:eastAsia=""/>
          <w:b w:val="false"/>
          <w:i w:val="false"/>
          <w:strike w:val="false"/>
          <w:color w:val="000000"/>
          <w:sz w:val="20"/>
          <w:u w:val="none"/>
        </w:rPr>
        <w:t xml:space="preserve">医用画像オンライン伝送基盤の検討と課題∼医療情報オンライン伝送基盤の実現を目指して,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266-267,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417-419,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378-381,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1052-1053,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Ali Elrazek Mohammad Abd, Hamdy Mahfouz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Risky Esophageal Varices by Two-Dimensional Ultrasound: When to Perform Endoscopy,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281-291,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506-507,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データマイニングによる褥瘡発生要因の検討(第2報),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 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