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901-911,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127, 2009.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75-85,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1347-1352,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20-22,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36-38,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F1028-F1036,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23-25,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919-921,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Suppl 1,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