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In Renin-Angiotensin System: Physiology, Role in Disease and Health Implications,,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