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N Chin Lai, Toshiyuki Takahashi, Brian P. Head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Isoflurane produces sustained cardiac protection after ischemia-reperfusion injury in mice.,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495-502,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Diane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Role of 12-lipoxygenase in volatile anesthetic-induced delayed preconditioning in mice.,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H979-83,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Hemal H. Patel, Brian P. Head, Ingrid R. Niesman, Michelle Jennings, Yousuke Horikawa, Diane Huang, Ana L. Moreno, Piyush M. Patel,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Mechanisms of cardiac protection from ischemia/reperfusion injury: a role for caveolae and caveolin-1.,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1565-1574,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Takaakira Yokoyama, Yousuke Horikawa,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Reactive oxygen species trigger ischemic and pharmacological postconditioning: in vivo and in vitro characterization.,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1223-1227,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Brian P. Head,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Yue Hu, Trisha Mejia, Rosalia C. Mora, Paul A. Insel, David M. Roth, John C. Drummond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Piyush M. Patel : </w:t>
      </w:r>
      <w:r>
        <w:rPr>
          <w:rFonts w:ascii="" w:hAnsi="" w:cs="" w:eastAsia=""/>
          <w:b w:val="false"/>
          <w:i w:val="false"/>
          <w:strike w:val="false"/>
          <w:color w:val="000000"/>
          <w:sz w:val="20"/>
          <w:u w:val="none"/>
        </w:rPr>
        <w:t xml:space="preserve">Caveolin-1 expression is essential for N-methyl-D-aspartate receptor-mediated Src and extracellular signal-regulated kinase 1/2 activation and protection of primary neurons from ischemic cell death.,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Yousuke T. Horikawa, Hemal H. Patel,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Michelle M. Jennings, Michael W. Kidd, Yasuko Hagiwara, Yoshihiro Ishikawa, Paul A. Insel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Caveolin-3 expression and caveolae are required for isoflurane-induced cardiac protection from hypoxia and ischemia/reperfusion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Hemal H. Patel,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Mito-controversies: mitochondrial permeability transition pore and myocardial reperfusion injury.,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Michelle M. Jennings, Michael W. Kidd, Ingrid R. Niesman, Utako Yokoyama, Brian P. Head, Yasuko Hagiwara, Yoshihiro Ishikawa, Atsushi Miyanohara, Piyush M. Patel,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induces endogenous cardiac protection by mimicking ischemic preconditioning.,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1979-1988,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