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高田充 歯科基礎医学奨励賞,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歯学研究科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Double-stranded RNA-dependent protein kinase is required for bone calcification in MC3T3-E1 cells in vitro, 歯科基礎医学会賞,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賀弥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第十二回高田充歯科基礎医学奨励賞, 2006年12月.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科研審査における特別表彰, 科研特別審査員賞,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Akio Hiura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paradox: Why can the mice with profound loss of capsaicin-sensitive small sensory neurons and TRPV1-deficient mice normally sense acute noxious heat, Honour, The Fourth Western China International Neuroscience Forum, Aug. 2010.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羽地 達次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蛋白質脱リン酸化酵素PP1dとB23の細胞内局在およびアポトーシス細胞におけるB23の分解, 優秀講演賞, 日本組織細胞化学会, 2010年9月.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裕彦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PKRは骨芽細胞の悪性化に関与するか?, 第25回基礎医学医療研究助成金, 財団法人金原一郎記念医学医療振興財団, 2010年9月.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Young Investigator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2011.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Synthetic Inhibitor of ZZ Domain of Sequestosome-1/p62 Inhibits Both Stromal Cell Independent and Dependent Myeloma Cell Growth and Osteoclast Formation, Basic Science Post-docs/Medical Fellows 1st place, The IU Simon Cancer Center Annual Cancer Research Day 2012, May 2012.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Hirohiko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role of PP2A in the differentiation of mesenchymal stem cells., Takeda Science Foundation,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Takeda Science Foundation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Critical role of Pim-2 in NF-kB-mediated suppression of osteoblastogenesis and stimulation of osteoclastogenesis: Therapeutic impact of Pim inhibition on myeloma bone disease., ASBMR 2014 Plenary Poster,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