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ペーパーペイシェントから学ぶ機能障害別看護ベーシックトレーニング, --- 第4章 脳神経・感覚機能障害のある人に対する看護 case study11重症筋無力症の患者 case study13 白内障の患者 case study14聴覚・平衡機能障害のある患者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脳神経外科新人ナース指導育成マニュアル11水頭症,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108-114,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26-31,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31-42,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220-222,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288-290,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781-788,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Proceeding of 2nd Japan China Korea Nursing conference, </w:t>
      </w:r>
      <w:r>
        <w:rPr>
          <w:rFonts w:ascii="" w:hAnsi="" w:cs="" w:eastAsia=""/>
          <w:b w:val="false"/>
          <w:i w:val="false"/>
          <w:strike w:val="false"/>
          <w:color w:val="000000"/>
          <w:sz w:val="20"/>
          <w:u w:val="none"/>
        </w:rPr>
        <w:t>239-240,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789-793,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43-52,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43-52,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2nd Japan China Korea Nursing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女子大学生におけるダイエットと食生活状況, </w:t>
      </w:r>
      <w:r>
        <w:rPr>
          <w:rFonts w:ascii="" w:hAnsi="" w:cs="" w:eastAsia=""/>
          <w:b w:val="false"/>
          <w:i w:val="true"/>
          <w:strike w:val="false"/>
          <w:color w:val="000000"/>
          <w:sz w:val="20"/>
          <w:u w:val="none"/>
        </w:rPr>
        <w:t xml:space="preserve">日本家政学会第62回大会,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入学間もない看護学生の大学生活への適応状態, </w:t>
      </w:r>
      <w:r>
        <w:rPr>
          <w:rFonts w:ascii="" w:hAnsi="" w:cs="" w:eastAsia=""/>
          <w:b w:val="false"/>
          <w:i w:val="true"/>
          <w:strike w:val="false"/>
          <w:color w:val="000000"/>
          <w:sz w:val="20"/>
          <w:u w:val="none"/>
        </w:rPr>
        <w:t xml:space="preserve">日本看護学教育学会第20回学術集会,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看護学生の食生活に関する調査, </w:t>
      </w:r>
      <w:r>
        <w:rPr>
          <w:rFonts w:ascii="" w:hAnsi="" w:cs="" w:eastAsia=""/>
          <w:b w:val="false"/>
          <w:i w:val="true"/>
          <w:strike w:val="false"/>
          <w:color w:val="000000"/>
          <w:sz w:val="20"/>
          <w:u w:val="none"/>
        </w:rPr>
        <w:t xml:space="preserve">第36回日本看護研究学会学術集会,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808,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看護系大学新1年生の大学生活への満足度に関する調査, </w:t>
      </w:r>
      <w:r>
        <w:rPr>
          <w:rFonts w:ascii="" w:hAnsi="" w:cs="" w:eastAsia=""/>
          <w:b w:val="false"/>
          <w:i w:val="true"/>
          <w:strike w:val="false"/>
          <w:color w:val="000000"/>
          <w:sz w:val="20"/>
          <w:u w:val="none"/>
        </w:rPr>
        <w:t xml:space="preserve">日本応用心理学会第77回大会,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207,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前頭葉機能検査が心拍変動に与える影響‐青年期を対象に‐,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28-35,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504-511,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1875-1883,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367-372,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美咲, 河西 あゆみ, 坂口 栄美,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睡眠障害と自律神経機能の関連について,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