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西家 早紀 : </w:t>
      </w:r>
      <w:r>
        <w:rPr>
          <w:rFonts w:ascii="" w:hAnsi="" w:cs="" w:eastAsia=""/>
          <w:b w:val="false"/>
          <w:i w:val="false"/>
          <w:strike w:val="false"/>
          <w:color w:val="000000"/>
          <w:sz w:val="20"/>
          <w:u w:val="none"/>
        </w:rPr>
        <w:t xml:space="preserve">第48回日本水環境学会年会ライオン賞(学生ポスター発表賞),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