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大阪のことば地図,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 xml:space="preserve">1-207,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true"/>
          <w:strike w:val="false"/>
          <w:color w:val="000000"/>
          <w:sz w:val="20"/>
          <w:u w:val="none"/>
        </w:rPr>
        <w:t xml:space="preserve">徳島大学日本語学研究室, </w:t>
      </w:r>
      <w:r>
        <w:rPr>
          <w:rFonts w:ascii="" w:hAnsi="" w:cs="" w:eastAsia=""/>
          <w:b w:val="false"/>
          <w:i w:val="false"/>
          <w:strike w:val="false"/>
          <w:color w:val="000000"/>
          <w:sz w:val="20"/>
          <w:u w:val="none"/>
        </w:rPr>
        <w:t xml:space="preserve">1-422,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 xml:space="preserve">1-295,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 xml:space="preserve">1-166,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 xml:space="preserve">1-285,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移住に伴う言語変容―香川県を例として，社会・文化との関わりを中心に―, --- 第13章第1節 香川県伊吹島から大分県杵築市美濃崎への移住にみられる言語的特徴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荻野 綱男・田野村 忠温編『講座 ITと日本語研究8 質問調査法と統計処理』, --- 第2章 質問調査のデータ分析方法 ---,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石田 基広・金 明哲編著『コーパス とテキストマイニング』, --- 4.自由記述によるアンケート調査からことばの地域差を探る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 xml:space="preserve">1-220,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 xml:space="preserve">都市と周縁のことば-紀伊半島沿岸グロットグラム,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 </w:t>
      </w:r>
      <w:r>
        <w:rPr>
          <w:rFonts w:ascii="" w:hAnsi="" w:cs="" w:eastAsia=""/>
          <w:b w:val="false"/>
          <w:i w:val="true"/>
          <w:strike w:val="false"/>
          <w:color w:val="000000"/>
          <w:sz w:val="20"/>
          <w:u w:val="none"/>
        </w:rPr>
        <w:t xml:space="preserve">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 </w:t>
      </w:r>
      <w:r>
        <w:rPr>
          <w:rFonts w:ascii="" w:hAnsi="" w:cs="" w:eastAsia=""/>
          <w:b w:val="false"/>
          <w:i w:val="true"/>
          <w:strike w:val="false"/>
          <w:color w:val="000000"/>
          <w:sz w:val="20"/>
          <w:u w:val="none"/>
        </w:rPr>
        <w:t xml:space="preserve">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 </w:t>
      </w:r>
      <w:r>
        <w:rPr>
          <w:rFonts w:ascii="" w:hAnsi="" w:cs="" w:eastAsia=""/>
          <w:b w:val="false"/>
          <w:i w:val="true"/>
          <w:strike w:val="false"/>
          <w:color w:val="000000"/>
          <w:sz w:val="20"/>
          <w:u w:val="none"/>
        </w:rPr>
        <w:t xml:space="preserve">2013年人文地理学会大会,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 </w:t>
      </w:r>
      <w:r>
        <w:rPr>
          <w:rFonts w:ascii="" w:hAnsi="" w:cs="" w:eastAsia=""/>
          <w:b w:val="false"/>
          <w:i w:val="true"/>
          <w:strike w:val="false"/>
          <w:color w:val="000000"/>
          <w:sz w:val="20"/>
          <w:u w:val="none"/>
        </w:rPr>
        <w:t xml:space="preserve">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 xml:space="preserve">1-302,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 xml:space="preserve">1-293,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70-72,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 xml:space="preserve">1-282,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