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女性ホルモンおよびCampylobacter rectusが歯周組織の健康に及ぼす影響,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哲雄, 後藤 崇晴,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宣明, 内藤 禎人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高齢者の口腔ケア, </w:t>
      </w:r>
      <w:r>
        <w:rPr>
          <w:rFonts w:ascii="" w:hAnsi="" w:cs="" w:eastAsia=""/>
          <w:b w:val="false"/>
          <w:i w:val="true"/>
          <w:strike w:val="false"/>
          <w:color w:val="000000"/>
          <w:sz w:val="20"/>
          <w:u w:val="none"/>
        </w:rPr>
        <w:t xml:space="preserve">第18回徳島摂食嚥下研究会 学術講演会,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当院における主に癌患者を対象とした 周術期口腔機能管理の現況と最近の知見,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当院栄養サポートチームにおける歯科連携について, </w:t>
      </w:r>
      <w:r>
        <w:rPr>
          <w:rFonts w:ascii="" w:hAnsi="" w:cs="" w:eastAsia=""/>
          <w:b w:val="false"/>
          <w:i w:val="true"/>
          <w:strike w:val="false"/>
          <w:color w:val="000000"/>
          <w:sz w:val="20"/>
          <w:u w:val="none"/>
        </w:rPr>
        <w:t xml:space="preserve">中国・四国広域がんプロ養成コンソーシアム 第 9 回歯科・口腔外科インテンシブコース,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The Innovation Platform,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99-106, 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福島 みどり, 田倉 幸子,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当院における周術期口腔機能管理急変時の対応訓練について,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病院歯科の在宅医療への関わりについて, </w:t>
      </w:r>
      <w:r>
        <w:rPr>
          <w:rFonts w:ascii="" w:hAnsi="" w:cs="" w:eastAsia=""/>
          <w:b w:val="false"/>
          <w:i w:val="true"/>
          <w:strike w:val="false"/>
          <w:color w:val="000000"/>
          <w:sz w:val="20"/>
          <w:u w:val="none"/>
        </w:rPr>
        <w:t xml:space="preserve">第4回徳島在宅ケアWebセミナー,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