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true"/>
          <w:strike w:val="false"/>
          <w:color w:val="000000"/>
          <w:sz w:val="20"/>
          <w:u w:val="none"/>
        </w:rPr>
        <w:t xml:space="preserve">日本災害情報学会第12回研究発表大会予稿集, </w:t>
      </w:r>
      <w:r>
        <w:rPr>
          <w:rFonts w:ascii="" w:hAnsi="" w:cs="" w:eastAsia=""/>
          <w:b w:val="false"/>
          <w:i w:val="false"/>
          <w:strike w:val="false"/>
          <w:color w:val="000000"/>
          <w:sz w:val="20"/>
          <w:u w:val="none"/>
        </w:rPr>
        <w:t>113-118,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製造会社のBCP,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P社工場BCP策定報告会の事例,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岩手・宮城内陸地震から2年，被災企業のBCP策定の状況,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岩手・宮城内陸地震(08年6月)における事業所被害に関する追跡調査, </w:t>
      </w:r>
      <w:r>
        <w:rPr>
          <w:rFonts w:ascii="" w:hAnsi="" w:cs="" w:eastAsia=""/>
          <w:b w:val="false"/>
          <w:i w:val="true"/>
          <w:strike w:val="false"/>
          <w:color w:val="000000"/>
          <w:sz w:val="20"/>
          <w:u w:val="none"/>
        </w:rPr>
        <w:t xml:space="preserve">土木学会四国支部 平成23年自然災害フォーラム論文集, </w:t>
      </w:r>
      <w:r>
        <w:rPr>
          <w:rFonts w:ascii="" w:hAnsi="" w:cs="" w:eastAsia=""/>
          <w:b w:val="false"/>
          <w:i w:val="false"/>
          <w:strike w:val="false"/>
          <w:color w:val="000000"/>
          <w:sz w:val="20"/>
          <w:u w:val="none"/>
        </w:rPr>
        <w:t>61-70,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BCP対策の推進課題「設備耐震」に関する考察, </w:t>
      </w:r>
      <w:r>
        <w:rPr>
          <w:rFonts w:ascii="" w:hAnsi="" w:cs="" w:eastAsia=""/>
          <w:b w:val="false"/>
          <w:i w:val="true"/>
          <w:strike w:val="false"/>
          <w:color w:val="000000"/>
          <w:sz w:val="20"/>
          <w:u w:val="none"/>
        </w:rPr>
        <w:t xml:space="preserve">土木学会 全国大会 論文集,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2014年台風被害から見る事業所の代替戦略のあり方, </w:t>
      </w:r>
      <w:r>
        <w:rPr>
          <w:rFonts w:ascii="" w:hAnsi="" w:cs="" w:eastAsia=""/>
          <w:b w:val="false"/>
          <w:i w:val="true"/>
          <w:strike w:val="false"/>
          <w:color w:val="000000"/>
          <w:sz w:val="20"/>
          <w:u w:val="none"/>
        </w:rPr>
        <w:t xml:space="preserve">自治体危機管理研究,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45-52,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惣介, 福井 和也, 喜井 義典,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none"/>
        </w:rPr>
        <w:t xml:space="preserve">第33回建設マネジメント問題に関する研究発表・討論会講演集,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