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Yiliyasi Mayila, Rie Yanagihara, Altankhuu Tungalagsuvd, Munkhsaihan Munkhzaya, Takako Tokui, Shuhei Kamada, Aki Hayashi, Rie Masaki, Hidenori Aoki, 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公,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