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2019年7月.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シングルセルRNA-seqとマルチプレックスSpatial解析を基盤としたシェーグレン症候群の標的臓器微小環境変化の解明, 一般演題 大会長賞, 3学会合同学術大会 (第32回日本口腔内科学会 ・第33回日本臨床口腔病理学会 ・第35回日本口腔診断学会), 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炭酸アパタイトの多孔体ブロックの基礎研究に関する研究, 歯学部優秀研究賞, 徳島大学歯学部, 2023年9月.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